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9176B51" w:rsidP="19176B51" w:rsidRDefault="19176B51" w14:paraId="2F04FD95" w14:textId="43FBEC95">
      <w:pPr>
        <w:spacing w:after="0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  <w:r w:rsidRPr="19176B51" w:rsidR="19176B51">
        <w:rPr>
          <w:rStyle w:val="Strong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  <w:t>“LICENCIATURA EN NEGOCIOS CON ENFOQUE EN EMPRENDIMIENTO”</w:t>
      </w:r>
    </w:p>
    <w:p w:rsidR="19176B51" w:rsidP="19176B51" w:rsidRDefault="19176B51" w14:paraId="6BB11029" w14:textId="1D8D84A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9176B51" w:rsidP="19176B51" w:rsidRDefault="19176B51" w14:paraId="191CF66F" w14:textId="0A555706">
      <w:pPr>
        <w:spacing w:after="0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  <w:r w:rsidRPr="19176B51" w:rsidR="19176B51">
        <w:rPr>
          <w:rStyle w:val="Strong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  <w:t>Materia: SEGMENTACIÓN Y COMPORTAMIENTO DEL COSNUMIDOR</w:t>
      </w:r>
    </w:p>
    <w:p w:rsidR="19176B51" w:rsidP="19176B51" w:rsidRDefault="19176B51" w14:paraId="0C3D4922" w14:textId="636ADC20">
      <w:pPr>
        <w:spacing w:after="0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471C4"/>
          <w:sz w:val="56"/>
          <w:szCs w:val="56"/>
          <w:lang w:val="en-US"/>
        </w:rPr>
      </w:pPr>
    </w:p>
    <w:p w:rsidR="19176B51" w:rsidP="19176B51" w:rsidRDefault="19176B51" w14:paraId="1402C07E" w14:textId="5C63B38E">
      <w:pPr>
        <w:spacing w:after="0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  <w:r w:rsidRPr="19176B51" w:rsidR="19176B51">
        <w:rPr>
          <w:rStyle w:val="Strong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  <w:t>Profesor</w:t>
      </w:r>
      <w:r w:rsidRPr="19176B51" w:rsidR="19176B51">
        <w:rPr>
          <w:rStyle w:val="Strong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  <w:t>: EMILIO JAN ROBLERO</w:t>
      </w:r>
    </w:p>
    <w:p w:rsidR="19176B51" w:rsidP="19176B51" w:rsidRDefault="19176B51" w14:paraId="5AB9BCA1" w14:textId="085EC9EB">
      <w:pPr>
        <w:spacing w:after="0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471C4"/>
          <w:sz w:val="56"/>
          <w:szCs w:val="56"/>
          <w:lang w:val="en-US"/>
        </w:rPr>
      </w:pPr>
    </w:p>
    <w:p w:rsidR="19176B51" w:rsidP="19176B51" w:rsidRDefault="19176B51" w14:paraId="535832CF" w14:textId="38910891">
      <w:pPr>
        <w:spacing w:after="0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  <w:r w:rsidRPr="19176B51" w:rsidR="19176B51">
        <w:rPr>
          <w:rStyle w:val="Strong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  <w:t>Alumno: DAVID CABALLERO REYES</w:t>
      </w:r>
    </w:p>
    <w:p w:rsidR="19176B51" w:rsidP="19176B51" w:rsidRDefault="19176B51" w14:paraId="536E7454" w14:textId="40EBD457">
      <w:pPr>
        <w:spacing w:after="0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471C4"/>
          <w:sz w:val="56"/>
          <w:szCs w:val="56"/>
          <w:lang w:val="en-US"/>
        </w:rPr>
      </w:pPr>
    </w:p>
    <w:p w:rsidR="19176B51" w:rsidP="19176B51" w:rsidRDefault="19176B51" w14:paraId="1E169250" w14:textId="6FA960E9">
      <w:pPr>
        <w:spacing w:after="0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  <w:r w:rsidRPr="19176B51" w:rsidR="19176B51">
        <w:rPr>
          <w:rStyle w:val="Strong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  <w:t>Fecha</w:t>
      </w:r>
      <w:r w:rsidRPr="19176B51" w:rsidR="19176B51">
        <w:rPr>
          <w:rStyle w:val="Strong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  <w:t xml:space="preserve"> de </w:t>
      </w:r>
      <w:r w:rsidRPr="19176B51" w:rsidR="19176B51">
        <w:rPr>
          <w:rStyle w:val="Strong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  <w:t>entrega</w:t>
      </w:r>
      <w:r w:rsidRPr="19176B51" w:rsidR="19176B51">
        <w:rPr>
          <w:rStyle w:val="Strong"/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  <w:t>: 08 DE OCTUBRE DEL 2023</w:t>
      </w:r>
    </w:p>
    <w:p w:rsidR="19176B51" w:rsidP="19176B51" w:rsidRDefault="19176B51" w14:paraId="0429C0C4" w14:textId="19179B3E">
      <w:pPr>
        <w:pStyle w:val="Title"/>
        <w:spacing w:after="0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471C4"/>
          <w:sz w:val="56"/>
          <w:szCs w:val="56"/>
          <w:lang w:val="en-US"/>
        </w:rPr>
      </w:pPr>
    </w:p>
    <w:p w:rsidR="19176B51" w:rsidRDefault="19176B51" w14:paraId="2DDA9D31" w14:textId="199A130F">
      <w:r>
        <w:br w:type="page"/>
      </w:r>
    </w:p>
    <w:p xmlns:wp14="http://schemas.microsoft.com/office/word/2010/wordml" w:rsidP="4E95F98D" wp14:paraId="2C078E63" wp14:textId="16478E73">
      <w:pPr>
        <w:pStyle w:val="Heading1"/>
      </w:pPr>
      <w:r w:rsidR="4E95F98D">
        <w:rPr/>
        <w:t xml:space="preserve">Caso de </w:t>
      </w:r>
      <w:r w:rsidR="4E95F98D">
        <w:rPr/>
        <w:t>empresa</w:t>
      </w:r>
      <w:r w:rsidR="4E95F98D">
        <w:rPr/>
        <w:t>: “TARGET”</w:t>
      </w:r>
    </w:p>
    <w:p w:rsidR="42E47540" w:rsidP="19176B51" w:rsidRDefault="42E47540" w14:paraId="52C39B24" w14:textId="22321956">
      <w:pPr>
        <w:pStyle w:val="Normal"/>
        <w:bidi w:val="0"/>
        <w:spacing w:before="300" w:beforeAutospacing="off" w:after="30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Target es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corporación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minorista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(retail)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estadounidense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que opera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</w:t>
      </w:r>
      <w:hyperlink r:id="Rdbc3a9011e2a4d01">
        <w:r w:rsidRPr="19176B51" w:rsidR="19176B5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u w:val="none"/>
            <w:lang w:val="en-US"/>
          </w:rPr>
          <w:t>cadena</w:t>
        </w:r>
      </w:hyperlink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hyperlink r:id="Ree61352cbc3f40e0">
        <w:r w:rsidRPr="19176B51" w:rsidR="19176B5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u w:val="none"/>
            <w:lang w:val="en-US"/>
          </w:rPr>
          <w:t>grandes almacenes</w:t>
        </w:r>
      </w:hyperlink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 </w:t>
      </w:r>
      <w:hyperlink r:id="Rb2a066f59c234d19">
        <w:r w:rsidRPr="19176B51" w:rsidR="19176B5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u w:val="none"/>
            <w:lang w:val="en-US"/>
          </w:rPr>
          <w:t>hipermercados</w:t>
        </w:r>
      </w:hyperlink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descuento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Target es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industria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bastante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reconocida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Estados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Unidos, se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estima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su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logo es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reconocido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casi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90% de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poblacion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estadounidense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Target es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reconocido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segundo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vendedor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más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grande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tiendas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minoristas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Estados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Unidos (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siendo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superado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Walmart) y ha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logrado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sus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productos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estén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un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precio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ninguna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otra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tienda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estructura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similar ha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podido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igualar. Tienen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política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precios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económicos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incorpora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productos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descuento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a un valor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menor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lo habitual.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Ofrecen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varios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incentivos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para que sus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clientes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opten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adquirir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artículos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al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mayor o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realicen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compras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granel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La idea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siempre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ofrecer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un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descuento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tamaño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compra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w:rsidR="42E47540" w:rsidP="19176B51" w:rsidRDefault="42E47540" w14:paraId="1A32E066" w14:textId="5D37F702">
      <w:pPr>
        <w:pStyle w:val="Normal"/>
        <w:bidi w:val="0"/>
        <w:spacing w:before="0" w:beforeAutospacing="off" w:after="375" w:afterAutospacing="off" w:line="276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Respecto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esta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industria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la qu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se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cuentra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“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T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GET CORPRAT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ION” La </w:t>
      </w:r>
      <w:hyperlink r:id="R90f649c7971d4990">
        <w:r w:rsidRPr="19176B51" w:rsidR="19176B5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u w:val="none"/>
            <w:lang w:val="en-US"/>
          </w:rPr>
          <w:t>N</w:t>
        </w:r>
        <w:r w:rsidRPr="19176B51" w:rsidR="19176B5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u w:val="none"/>
            <w:lang w:val="en-US"/>
          </w:rPr>
          <w:t>ational Retail Federation (NRF)</w:t>
        </w:r>
      </w:hyperlink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su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pronóstico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anual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hyperlink r:id="R63873216598a4f0a">
        <w:r w:rsidRPr="19176B51" w:rsidR="19176B5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u w:val="none"/>
            <w:lang w:val="en-US"/>
          </w:rPr>
          <w:t>ventas mi</w:t>
        </w:r>
        <w:r w:rsidRPr="19176B51" w:rsidR="19176B5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u w:val="none"/>
            <w:lang w:val="en-US"/>
          </w:rPr>
          <w:t>n</w:t>
        </w:r>
        <w:r w:rsidRPr="19176B51" w:rsidR="19176B5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u w:val="none"/>
            <w:lang w:val="en-US"/>
          </w:rPr>
          <w:t>orist</w:t>
        </w:r>
        <w:r w:rsidRPr="19176B51" w:rsidR="19176B5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u w:val="none"/>
            <w:lang w:val="en-US"/>
          </w:rPr>
          <w:t>as</w:t>
        </w:r>
      </w:hyperlink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crecerán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entre 4 y 6 %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2023,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Estados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Unido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s.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En tot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,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proyec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alcanzarán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ntre 5.1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3 y 5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.27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billon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dólares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año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En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comp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aración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con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2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022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cua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crec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imiento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anu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fue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7 %, con 4.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9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bill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dólares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ntas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, la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imación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resen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año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á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ima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cre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imient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prome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anua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las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mino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istas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antes 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e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ndemia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3.6 %,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según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la NRF.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Esto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claram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representa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oprtunida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crecim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ent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para targ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et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es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sarrolla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at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egias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óp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timas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para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aprovechar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sta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cre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ciente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realidad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 m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rcado Ret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il.</w:t>
      </w:r>
    </w:p>
    <w:p w:rsidR="3BDC3561" w:rsidP="19176B51" w:rsidRDefault="3BDC3561" w14:paraId="21EBCE52" w14:textId="74BA40AC">
      <w:pPr>
        <w:pStyle w:val="Normal"/>
        <w:bidi w:val="0"/>
        <w:spacing w:before="0" w:beforeAutospacing="off" w:after="375" w:afterAutospacing="off" w:line="276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>
        <w:drawing>
          <wp:inline wp14:editId="3A78F468" wp14:anchorId="45B1D862">
            <wp:extent cx="4572000" cy="2828925"/>
            <wp:effectExtent l="0" t="0" r="0" b="0"/>
            <wp:docPr id="16232099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3bf32a78464a7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DC3561" w:rsidP="19176B51" w:rsidRDefault="3BDC3561" w14:paraId="0EC024D9" w14:textId="6C24C9B1">
      <w:pPr>
        <w:pStyle w:val="Normal"/>
        <w:bidi w:val="0"/>
        <w:spacing w:before="0" w:beforeAutospacing="off" w:after="375" w:afterAutospacing="off" w:line="276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figura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anterior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muestra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las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ventas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minoristas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EE. UU.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están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aumentando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significativamente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se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espera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las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ventas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minoristas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EE. UU.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aumenten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5,35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billones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dólares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para fines de 2025.</w:t>
      </w:r>
    </w:p>
    <w:p w:rsidR="42E47540" w:rsidP="19176B51" w:rsidRDefault="42E47540" w14:paraId="5B9EFD8B" w14:textId="6D4A2290">
      <w:pPr>
        <w:pStyle w:val="Heading4"/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Por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otra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parte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la NRF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informó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se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espera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las </w:t>
      </w:r>
      <w:hyperlink r:id="R324d81bd6118456f">
        <w:r w:rsidRPr="19176B51" w:rsidR="19176B5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u w:val="none"/>
            <w:lang w:val="en-US"/>
          </w:rPr>
          <w:t>ventas en línea</w:t>
        </w:r>
      </w:hyperlink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que se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incluyen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cifra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total,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crezcan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entre 10 % y 12 %,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un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rango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1.41 y 1.43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billones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dólares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Lo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puede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significar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oprtunidad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para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llegar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nuevos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clientes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prefieren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comprar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linea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lo tanto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aumentar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ganancias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ya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con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paso del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tiempo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tendencia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comprar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internet es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cada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vez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mayor. Por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otra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parte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tambien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puede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signicicar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amenaza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perdida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clientes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ya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empresas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Amazon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atraen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cada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vez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mas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clientes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con la entrada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productos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mas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diversificados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desde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productos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belleza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del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hogar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hasta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tecnología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w:rsidR="42E47540" w:rsidP="19176B51" w:rsidRDefault="42E47540" w14:paraId="33F87C55" w14:textId="642F3888">
      <w:pPr>
        <w:pStyle w:val="Heading4"/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w:rsidR="42E47540" w:rsidP="19176B51" w:rsidRDefault="42E47540" w14:paraId="458CD015" w14:textId="7CFED07E">
      <w:pPr>
        <w:pStyle w:val="Heading4"/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Sin embargo 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medida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papel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las tiendas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físicas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ha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evolucionado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últimos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años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siguen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siendo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principal punto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compra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para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consumidores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representando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aproximadamente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70 % de las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ventas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minoristas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totales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mercado del retail. Por lo que 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diferencia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competidores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Omnicanales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compra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internet,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existe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ventaja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oprtunidad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experiencia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las tiendas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fisicas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 U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estudio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Salesforce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señala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para un 80%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clientes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experiencia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compra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igual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importante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producto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o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servicio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sí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Por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ello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desde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consultora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creen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activos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compañía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deberían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centrarse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conseguir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un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cliente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satisfecho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y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aquí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nuevas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tecnologías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tienen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un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rol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relevante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la hora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alcanzar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objetivo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w:rsidR="19176B51" w:rsidP="19176B51" w:rsidRDefault="19176B51" w14:paraId="5784E0E4" w14:textId="2777D73A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w:rsidR="42E47540" w:rsidP="19176B51" w:rsidRDefault="42E47540" w14:paraId="7432C710" w14:textId="0D4AB7C1">
      <w:pPr>
        <w:pStyle w:val="Normal"/>
        <w:spacing w:before="300" w:beforeAutospacing="off" w:after="30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Target se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enfoca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un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segmento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clientes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personas con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ingresos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medios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estén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interesados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comprar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cantidad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pero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menor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precio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su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vez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son personas que no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escatiman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 tanto y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caso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ver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algún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producto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o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promoción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rebase un poco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su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“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presupuesto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semana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” lo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puedan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adquirir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sin mayor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problema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Sin embargo target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tambien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ofrece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gama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productos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asequibles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con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precios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mas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bajos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abarcando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asi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un mayor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numero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cliente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:</w:t>
      </w:r>
    </w:p>
    <w:p w:rsidR="42E47540" w:rsidP="19176B51" w:rsidRDefault="42E47540" w14:paraId="7CCF2C9F" w14:textId="2C6DB549">
      <w:pPr>
        <w:pStyle w:val="Normal"/>
        <w:spacing w:before="300" w:beforeAutospacing="off" w:after="300" w:afterAutospacing="off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>
        <w:drawing>
          <wp:inline wp14:editId="6C858E0B" wp14:anchorId="12DDA9FD">
            <wp:extent cx="3884579" cy="2755809"/>
            <wp:effectExtent l="0" t="0" r="0" b="0"/>
            <wp:docPr id="2118905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e737c59dc2b424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84579" cy="275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DC3561" w:rsidP="19176B51" w:rsidRDefault="3BDC3561" w14:paraId="78B8C531" w14:textId="2755EECC">
      <w:pPr>
        <w:pStyle w:val="Normal"/>
        <w:spacing w:before="300" w:beforeAutospacing="off" w:after="30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Segun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tabla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anterior,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mercado meta de target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serian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las personas que con un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nivel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socioeconómico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entre 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clase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trabajadora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la media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baja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representa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un 64%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porciento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poblacion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Estados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Unidos,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industria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bastante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atractiva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dado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mercado es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muy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grande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No obstante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mercado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tambien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podria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segmentarse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medio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compra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virtual o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fisico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:</w:t>
      </w:r>
    </w:p>
    <w:p w:rsidR="3BDC3561" w:rsidP="19176B51" w:rsidRDefault="3BDC3561" w14:paraId="719F80DC" w14:textId="4C076AA5">
      <w:pPr>
        <w:pStyle w:val="Normal"/>
        <w:spacing w:before="300" w:beforeAutospacing="off" w:after="300" w:afterAutospacing="off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>
        <w:drawing>
          <wp:inline wp14:editId="5E46168C" wp14:anchorId="7D496A91">
            <wp:extent cx="4529667" cy="2821605"/>
            <wp:effectExtent l="0" t="0" r="0" b="0"/>
            <wp:docPr id="4588433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384d40108b44bf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29667" cy="282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176B51" w:rsidP="19176B51" w:rsidRDefault="19176B51" w14:paraId="78D0D495" w14:textId="740A0973">
      <w:pPr>
        <w:pStyle w:val="Normal"/>
        <w:spacing w:before="300" w:beforeAutospacing="off" w:after="30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</w:pPr>
    </w:p>
    <w:p w:rsidR="3BDC3561" w:rsidP="19176B51" w:rsidRDefault="3BDC3561" w14:paraId="215CA5D9" w14:textId="587DAE79">
      <w:pPr>
        <w:pStyle w:val="Normal"/>
        <w:spacing w:before="300" w:beforeAutospacing="off" w:after="30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</w:pP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t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endencia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de las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mpras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di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gitales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es mayor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entre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millen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nia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ls y las personas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grupos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altos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ingresos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No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sólo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esto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,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sequ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ibili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dad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divers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roductos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y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servici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empres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inorista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como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Targ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t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ta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mbién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tá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infl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u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yend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las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ncias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compra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di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gitales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.</w:t>
      </w:r>
    </w:p>
    <w:p w:rsidR="3BDC3561" w:rsidP="19176B51" w:rsidRDefault="3BDC3561" w14:paraId="4196B3D3" w14:textId="5B43619D">
      <w:pPr>
        <w:pStyle w:val="Normal"/>
        <w:spacing w:before="300" w:beforeAutospacing="off" w:after="30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</w:pP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El mercado del retail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Estados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Unidos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actualmente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es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muy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competido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se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cencuentran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constante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lucha entre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varias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empresas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TARGET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está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librando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dos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luchas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importantes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contra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empresa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minorista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línea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es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decir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Amazon, y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otra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contra las tiendas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físicas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es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decir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Walmart 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continuacion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se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muestra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tabla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con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principalws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competidores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TARGET:</w:t>
      </w:r>
    </w:p>
    <w:p w:rsidR="3BDC3561" w:rsidP="19176B51" w:rsidRDefault="3BDC3561" w14:paraId="24E757B7" w14:textId="5BED8AE1">
      <w:pPr>
        <w:pStyle w:val="Normal"/>
        <w:spacing w:before="300" w:beforeAutospacing="off" w:after="300" w:afterAutospacing="off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>
        <w:drawing>
          <wp:inline wp14:editId="1BA01076" wp14:anchorId="4C8AB2E3">
            <wp:extent cx="3357624" cy="1860683"/>
            <wp:effectExtent l="0" t="0" r="0" b="0"/>
            <wp:docPr id="2344436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a814d34263d480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57624" cy="186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DC3561" w:rsidP="19176B51" w:rsidRDefault="3BDC3561" w14:paraId="4BACE9EE" w14:textId="299A2BFD">
      <w:pPr>
        <w:pStyle w:val="Normal"/>
        <w:spacing w:before="300" w:beforeAutospacing="off" w:after="30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</w:pP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El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análisis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anterior de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competencia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las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empresas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del sector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minorista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ayudó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determinar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que Amazon ha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alcanzado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posición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liderazgo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industria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del Retail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deb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ido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su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fue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presen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lí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nea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y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leal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tad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us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clien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tes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. Sin embargo,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se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encuen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tra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canti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dad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tiendas de Targ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et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ebe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ser mayor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canti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dad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tiendas de Amazon, Best Buy y Costco.</w:t>
      </w:r>
    </w:p>
    <w:p w:rsidR="19176B51" w:rsidP="19176B51" w:rsidRDefault="19176B51" w14:paraId="6BE7705F" w14:textId="3CC7D730">
      <w:pPr>
        <w:pStyle w:val="Normal"/>
        <w:spacing w:before="300" w:beforeAutospacing="off" w:after="30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</w:pP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Para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hacer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frente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a las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enormes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presiones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competitivas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empresa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ha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implementado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servicios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entrega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gratuitos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que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empresa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pretende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ofrecer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entrega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gratuita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productos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para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pedidos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superiores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a 25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dólares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que antes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eran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50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dólares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Ahora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Target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tiene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umbral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más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bajo para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entrega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gratuita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pedidos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Además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Amazon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requiere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clientes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compren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por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un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mínimo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$ 35 para ser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elegibles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para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entrega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gratuita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pedidos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. Para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conocer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mejor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entorno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es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neesario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hacer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un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analisis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las 5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fuerzas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porter y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analisis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pestel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quedarian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sifuiente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forma:</w:t>
      </w:r>
      <w:r>
        <w:drawing>
          <wp:inline wp14:editId="1EA36F26" wp14:anchorId="21833ADE">
            <wp:extent cx="2800709" cy="2520000"/>
            <wp:effectExtent l="0" t="0" r="0" b="0"/>
            <wp:docPr id="12859154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a1e125ed78c4f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709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4434FA8B" wp14:anchorId="43C8829C">
            <wp:extent cx="2813023" cy="2520000"/>
            <wp:effectExtent l="0" t="0" r="0" b="0"/>
            <wp:docPr id="15664110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0b964e8db594bc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023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176B51" w:rsidP="19176B51" w:rsidRDefault="19176B51" w14:paraId="396E9C0C" w14:textId="21CC086B">
      <w:pPr>
        <w:pStyle w:val="Normal"/>
        <w:spacing w:before="300" w:beforeAutospacing="off" w:after="30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</w:pPr>
      <w:r>
        <w:drawing>
          <wp:inline wp14:editId="38F55185" wp14:anchorId="4BCEDD74">
            <wp:extent cx="3310070" cy="2462850"/>
            <wp:effectExtent l="0" t="0" r="0" b="0"/>
            <wp:docPr id="9871306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21e7dde8a641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508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310070" cy="24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30B17A45" wp14:anchorId="4E124D53">
            <wp:extent cx="3215930" cy="2520000"/>
            <wp:effectExtent l="0" t="0" r="0" b="0"/>
            <wp:docPr id="19315409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43d5b8ce4604ac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93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176B51" w:rsidP="19176B51" w:rsidRDefault="19176B51" w14:paraId="65A6EFD0" w14:textId="45E73A18">
      <w:pPr>
        <w:pStyle w:val="Normal"/>
        <w:spacing w:before="300" w:beforeAutospacing="off" w:after="30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</w:pPr>
      <w:r>
        <w:drawing>
          <wp:inline wp14:editId="306A6BB7" wp14:anchorId="3145EA02">
            <wp:extent cx="3073877" cy="2496623"/>
            <wp:effectExtent l="0" t="0" r="0" b="0"/>
            <wp:docPr id="18155720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f1df742a5243b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877" cy="249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176B51" w:rsidP="19176B51" w:rsidRDefault="19176B51" w14:paraId="5325FB48" w14:textId="202B1B9E">
      <w:pPr>
        <w:pStyle w:val="Normal"/>
        <w:spacing w:before="300" w:beforeAutospacing="off" w:after="30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</w:pP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suma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todas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las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fuuerzas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quedaria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esta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manera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:</w:t>
      </w:r>
    </w:p>
    <w:p w:rsidR="19176B51" w:rsidP="19176B51" w:rsidRDefault="19176B51" w14:paraId="3AAC80EC" w14:textId="1E2B4184">
      <w:pPr>
        <w:pStyle w:val="Normal"/>
        <w:spacing w:before="300" w:beforeAutospacing="off" w:after="30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</w:pPr>
      <w:r>
        <w:drawing>
          <wp:inline wp14:editId="3C9C2F3A" wp14:anchorId="28573EF6">
            <wp:extent cx="5102679" cy="4286250"/>
            <wp:effectExtent l="0" t="0" r="0" b="0"/>
            <wp:docPr id="222469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c6fe98ae863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679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176B51" w:rsidP="19176B51" w:rsidRDefault="19176B51" w14:paraId="25DDD953" w14:textId="288ED372">
      <w:pPr>
        <w:pStyle w:val="Normal"/>
        <w:spacing w:before="300" w:beforeAutospacing="off" w:after="30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</w:pP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Este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analisis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nos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dice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mercado de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venta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minorista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existe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alta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rivalidad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entre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competidores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debido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a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alguno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ellos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son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mayores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tamaño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y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poder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y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ademas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buscan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liderar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mercado,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cabe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mencionar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ofrecen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ofertas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atractivas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al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cliente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por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lo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este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mismo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tiene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bajos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costos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para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cambiarse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a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competencia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lo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significa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que hay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alta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amenaza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sustitución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derivado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mayor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parte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a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competidores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ofrecen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aunque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no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mejor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calidad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pero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si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menor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precio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. Los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proveedores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no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presentan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amenaza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debido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a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su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poder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negociación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disminuye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debido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a que hay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gran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varidead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mismos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. Tambien es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importante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mencionar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que la entrada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nuevos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competidores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es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baja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debido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a que es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industria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si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bien no es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dificil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acceder 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canales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distribución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se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necesita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fuerte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inversión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para la entrada al mercado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que TARGET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esta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posicionado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.</w:t>
      </w:r>
    </w:p>
    <w:p w:rsidR="19176B51" w:rsidP="19176B51" w:rsidRDefault="19176B51" w14:paraId="5935B365" w14:textId="0288E394">
      <w:pPr>
        <w:pStyle w:val="Normal"/>
        <w:spacing w:before="300" w:beforeAutospacing="off" w:after="30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</w:pPr>
    </w:p>
    <w:p w:rsidR="19176B51" w:rsidP="19176B51" w:rsidRDefault="19176B51" w14:paraId="22552E9F" w14:textId="064699BE">
      <w:pPr>
        <w:pStyle w:val="Normal"/>
        <w:spacing w:before="300" w:beforeAutospacing="off" w:after="30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</w:pP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El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analisis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PESTEL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nos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da un panorama mas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amplio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acerca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entorno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y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posibles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amenazas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y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oprtunidades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existentes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mercado,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base a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investigación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anterior junto con las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fuerzas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Porter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analisis PESTEL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quedaría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siguiente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forma:</w:t>
      </w:r>
    </w:p>
    <w:p w:rsidR="19176B51" w:rsidP="19176B51" w:rsidRDefault="19176B51" w14:paraId="24536DD6" w14:textId="14131C15">
      <w:pPr>
        <w:pStyle w:val="Normal"/>
        <w:spacing w:before="300" w:beforeAutospacing="off" w:after="300" w:afterAutospacing="off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</w:pPr>
      <w:r>
        <w:drawing>
          <wp:inline wp14:editId="2375BBA2" wp14:anchorId="20EF7589">
            <wp:extent cx="4982107" cy="3445958"/>
            <wp:effectExtent l="0" t="0" r="0" b="0"/>
            <wp:docPr id="15153426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607b7309d34c7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107" cy="344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DC3561" w:rsidP="19176B51" w:rsidRDefault="3BDC3561" w14:paraId="5B8BAFC6" w14:textId="4FB9780E">
      <w:pPr>
        <w:pStyle w:val="Normal"/>
        <w:spacing w:before="300" w:beforeAutospacing="off" w:after="30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</w:pP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Es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necesario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que para no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morir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ante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competencia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conocer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nuestras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capacidades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Las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áreas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competencias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no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básicas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Target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incluyen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propiedad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intelectual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y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estrategias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digitales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deficientes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.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propiedad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intelectual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Target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también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es un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área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competencia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secundaria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y las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principales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marcas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comerciales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empresa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solo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incluyen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su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lema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"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espera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más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paga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menos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" y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diseño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diana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Además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esto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empresa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se ha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centrado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únicamente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estrategias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limitadas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marketing digital, lo que es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fuente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desventaja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competitiva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para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empresa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dado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inmenso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alcance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del marketing digital y las </w:t>
      </w:r>
      <w:hyperlink w:anchor="advantages-of-social-media" r:id="Rba735b0710ac47e8">
        <w:r w:rsidRPr="19176B51" w:rsidR="19176B5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u w:val="none"/>
            <w:lang w:val="en-US"/>
          </w:rPr>
          <w:t>ventajas de las redes sociales</w:t>
        </w:r>
      </w:hyperlink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para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participación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marca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. Sin embargo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cartera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productos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es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las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principales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áreas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competencia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central,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ya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que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empresa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es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conocida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por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vender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amplia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variedad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mercancías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generales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y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productos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alimenticios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las tiendas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Mercancía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General de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empresa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también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ofrecen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surtidos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alimentos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como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perecederos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congelados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abarrotes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y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lácteos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Además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un tercio de las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ventas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totales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compañía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provienen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marcas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propias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y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exclusivas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ademas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cuenta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con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su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pupular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sección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articulos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temporada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“Bullseye´s Playground”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han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ganado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puplaridad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ya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aprte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su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alto reconocimiento de valor son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productos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rondan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entre 1$ y 5$. </w:t>
      </w:r>
    </w:p>
    <w:p w:rsidR="19176B51" w:rsidP="19176B51" w:rsidRDefault="19176B51" w14:paraId="03969A26" w14:textId="2CDBCD76">
      <w:pPr>
        <w:pStyle w:val="Normal"/>
        <w:spacing w:before="300" w:beforeAutospacing="off" w:after="30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</w:pP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Los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recursos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y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capacidades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principales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Target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incluyen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gestión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recursos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humanos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marketing,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lealtad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del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cliente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sólida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cartera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productos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red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distribución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eficaz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sólida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cadena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suministro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etc.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adquisición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Shipt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empresa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servicios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entrega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línea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también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ha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mejorado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capacidad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prestación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servicios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Target.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empresa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ya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ayuda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facilitar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entrega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productos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mismo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día 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clientes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Además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esto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imagen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marca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sólida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y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lealtad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del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cliente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también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ayudan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a Target 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garantizar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compras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repetidas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por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parte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empresa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Además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,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gestión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eficaz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del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inventario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es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otra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área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importante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recursos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y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capacidades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principales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 Target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ayuda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a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empresa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facilitar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reabastecimiento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 xml:space="preserve"> del stock.</w:t>
      </w:r>
    </w:p>
    <w:p w:rsidR="19176B51" w:rsidP="19176B51" w:rsidRDefault="19176B51" w14:paraId="2E6BBC19" w14:textId="19F69C74">
      <w:pPr>
        <w:pStyle w:val="Normal"/>
        <w:spacing w:before="300" w:beforeAutospacing="off" w:after="30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</w:pP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Conociendo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nuestros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recursos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y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capacidades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podriamos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hacer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nuetro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analisis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VRIO de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siguiente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forma:</w:t>
      </w:r>
    </w:p>
    <w:p w:rsidR="19176B51" w:rsidP="19176B51" w:rsidRDefault="19176B51" w14:paraId="16681437" w14:textId="6E33A621">
      <w:pPr>
        <w:pStyle w:val="Normal"/>
        <w:spacing w:before="300" w:beforeAutospacing="off" w:after="300" w:afterAutospacing="off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</w:pPr>
      <w:r>
        <w:drawing>
          <wp:inline wp14:editId="7C979756" wp14:anchorId="33E199CB">
            <wp:extent cx="6340176" cy="4781550"/>
            <wp:effectExtent l="0" t="0" r="0" b="0"/>
            <wp:docPr id="978859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4450ddb3af143c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0176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E47540" w:rsidP="19176B51" w:rsidRDefault="42E47540" w14:paraId="73F95656" w14:textId="2FEA9576">
      <w:pPr>
        <w:pStyle w:val="Normal"/>
        <w:spacing w:before="300" w:beforeAutospacing="off" w:after="30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Teniendo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a la mano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nuetro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analisis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del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entorno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interno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podemos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pasar 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crear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analisis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FODA para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crear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nuestras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estrategias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:</w:t>
      </w:r>
    </w:p>
    <w:p w:rsidR="4E95F98D" w:rsidP="19176B51" w:rsidRDefault="4E95F98D" w14:paraId="7ED88BA0" w14:textId="4A28211C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</w:pPr>
      <w:r>
        <w:drawing>
          <wp:inline wp14:editId="6C3C6841" wp14:anchorId="0E0E9A41">
            <wp:extent cx="5876474" cy="4419600"/>
            <wp:effectExtent l="0" t="0" r="0" b="0"/>
            <wp:docPr id="7519373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8a523a48eae441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76474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E47540" w:rsidP="19176B51" w:rsidRDefault="42E47540" w14:paraId="35E51A45" w14:textId="130C11F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</w:pPr>
    </w:p>
    <w:p w:rsidR="42E47540" w:rsidP="19176B51" w:rsidRDefault="42E47540" w14:paraId="789C1846" w14:textId="79EAF9B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En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conclusión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Del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análisis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estratégico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anterior se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desprende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Target Corporation es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las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principales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empresas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minoristas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estadounidenses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ha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establecido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sólida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imagen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marca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industria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debido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estrategias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precios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asequibles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líneas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productos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diversificadas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El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análisis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externo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empresa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ayudó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determinar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demanda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productos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minoristas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está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aumentando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tiempos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actuales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debido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al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aumento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la población y al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cambio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comportamiento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compra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clientes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Se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constata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marketing digital y </w:t>
      </w:r>
      <w:hyperlink r:id="Rb8f65216a43440be">
        <w:r w:rsidRPr="19176B51" w:rsidR="19176B5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u w:val="none"/>
            <w:lang w:val="en-US"/>
          </w:rPr>
          <w:t>las compras online</w:t>
        </w:r>
      </w:hyperlink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han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cobrado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gran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importancia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tiempos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actuales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Por lo tanto, Target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debe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centrarse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mejorar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sus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servicios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entrega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línea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mediante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uso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diversas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tecnologías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para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garantizar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entrega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más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rápida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productos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clientes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asi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uso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tecnologias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atractivas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para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segmento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mercado online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Inteligencia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artificial y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realidad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aumentada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Además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también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se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determina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la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empresa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debería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implementar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campañas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publicitarias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las tiendas para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promocionar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productos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orgánicos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mercado. Las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alianzas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estrategicas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 de Starbucks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tambien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ayuda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dar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nueva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experiencia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compra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asi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como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atraer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nuevos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tipos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clientes</w:t>
      </w:r>
      <w:r w:rsidRPr="19176B51" w:rsidR="19176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e449762b25c4c96"/>
      <w:footerReference w:type="default" r:id="Re40abcfc6f7e45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176B51" w:rsidTr="19176B51" w14:paraId="2B4F0C6E">
      <w:trPr>
        <w:trHeight w:val="300"/>
      </w:trPr>
      <w:tc>
        <w:tcPr>
          <w:tcW w:w="3120" w:type="dxa"/>
          <w:tcMar/>
        </w:tcPr>
        <w:p w:rsidR="19176B51" w:rsidP="19176B51" w:rsidRDefault="19176B51" w14:paraId="3DD179F3" w14:textId="37EDD84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9176B51" w:rsidP="19176B51" w:rsidRDefault="19176B51" w14:paraId="50EB7162" w14:textId="09B6021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9176B51" w:rsidP="19176B51" w:rsidRDefault="19176B51" w14:paraId="0F08AFF0" w14:textId="087BE3ED">
          <w:pPr>
            <w:pStyle w:val="Header"/>
            <w:bidi w:val="0"/>
            <w:ind w:right="-115"/>
            <w:jc w:val="right"/>
          </w:pPr>
        </w:p>
      </w:tc>
    </w:tr>
  </w:tbl>
  <w:p w:rsidR="19176B51" w:rsidP="19176B51" w:rsidRDefault="19176B51" w14:paraId="4E1165FD" w14:textId="2260C1A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176B51" w:rsidTr="19176B51" w14:paraId="38E81594">
      <w:trPr>
        <w:trHeight w:val="300"/>
      </w:trPr>
      <w:tc>
        <w:tcPr>
          <w:tcW w:w="3120" w:type="dxa"/>
          <w:tcMar/>
        </w:tcPr>
        <w:p w:rsidR="19176B51" w:rsidP="19176B51" w:rsidRDefault="19176B51" w14:paraId="0F741494" w14:textId="71B81B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9176B51" w:rsidP="19176B51" w:rsidRDefault="19176B51" w14:paraId="767B11E5" w14:textId="274F2D4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9176B51" w:rsidP="19176B51" w:rsidRDefault="19176B51" w14:paraId="3C1BF6AB" w14:textId="6F7C593B">
          <w:pPr>
            <w:pStyle w:val="Header"/>
            <w:bidi w:val="0"/>
            <w:ind w:right="-115"/>
            <w:jc w:val="right"/>
          </w:pPr>
        </w:p>
      </w:tc>
    </w:tr>
  </w:tbl>
  <w:p w:rsidR="19176B51" w:rsidP="19176B51" w:rsidRDefault="19176B51" w14:paraId="4DFA8828" w14:textId="72356B1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838d6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96CF00"/>
    <w:rsid w:val="19176B51"/>
    <w:rsid w:val="1F96CF00"/>
    <w:rsid w:val="3BDC3561"/>
    <w:rsid w:val="42E47540"/>
    <w:rsid w:val="4E95F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6CF00"/>
  <w15:chartTrackingRefBased/>
  <w15:docId w15:val="{09594204-7292-45A0-A7E5-EC81E19B97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Strong" mc:Ignorable="w14">
    <w:name xmlns:w="http://schemas.openxmlformats.org/wordprocessingml/2006/main" w:val="Strong"/>
    <w:basedOn xmlns:w="http://schemas.openxmlformats.org/wordprocessingml/2006/main" w:val="DefaultParagraphFont"/>
    <w:uiPriority xmlns:w="http://schemas.openxmlformats.org/wordprocessingml/2006/main" w:val="22"/>
    <w:qFormat xmlns:w="http://schemas.openxmlformats.org/wordprocessingml/2006/main"/>
    <w:rPr xmlns:w="http://schemas.openxmlformats.org/wordprocessingml/2006/main"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d7e42b32a4148c8" /><Relationship Type="http://schemas.openxmlformats.org/officeDocument/2006/relationships/hyperlink" Target="https://en.wikipedia.org/wiki/Retail_chain" TargetMode="External" Id="Rdbc3a9011e2a4d01" /><Relationship Type="http://schemas.openxmlformats.org/officeDocument/2006/relationships/hyperlink" Target="https://en.wikipedia.org/wiki/Discount_department_stores" TargetMode="External" Id="Ree61352cbc3f40e0" /><Relationship Type="http://schemas.openxmlformats.org/officeDocument/2006/relationships/hyperlink" Target="https://en.wikipedia.org/wiki/Hypermarket" TargetMode="External" Id="Rb2a066f59c234d19" /><Relationship Type="http://schemas.openxmlformats.org/officeDocument/2006/relationships/hyperlink" Target="https://nrf.com/" TargetMode="External" Id="R90f649c7971d4990" /><Relationship Type="http://schemas.openxmlformats.org/officeDocument/2006/relationships/hyperlink" Target="https://retailers.mx/?s=ventas+minoristas" TargetMode="External" Id="R63873216598a4f0a" /><Relationship Type="http://schemas.openxmlformats.org/officeDocument/2006/relationships/image" Target="/media/image5.png" Id="Ra93bf32a78464a7a" /><Relationship Type="http://schemas.openxmlformats.org/officeDocument/2006/relationships/hyperlink" Target="https://retailers.mx/?s=ventas+en+l%C3%ADnea" TargetMode="External" Id="R324d81bd6118456f" /><Relationship Type="http://schemas.openxmlformats.org/officeDocument/2006/relationships/image" Target="/media/image2.jpg" Id="R4e737c59dc2b424e" /><Relationship Type="http://schemas.openxmlformats.org/officeDocument/2006/relationships/image" Target="/media/image6.png" Id="Rf384d40108b44bfe" /><Relationship Type="http://schemas.openxmlformats.org/officeDocument/2006/relationships/image" Target="/media/image7.png" Id="Rea814d34263d4803" /><Relationship Type="http://schemas.openxmlformats.org/officeDocument/2006/relationships/image" Target="/media/image8.png" Id="R9a1e125ed78c4f8d" /><Relationship Type="http://schemas.openxmlformats.org/officeDocument/2006/relationships/image" Target="/media/image9.png" Id="R80b964e8db594bca" /><Relationship Type="http://schemas.openxmlformats.org/officeDocument/2006/relationships/image" Target="/media/imagea.png" Id="Rab21e7dde8a64160" /><Relationship Type="http://schemas.openxmlformats.org/officeDocument/2006/relationships/image" Target="/media/imageb.png" Id="Rb43d5b8ce4604acf" /><Relationship Type="http://schemas.openxmlformats.org/officeDocument/2006/relationships/image" Target="/media/imagec.png" Id="Rf9f1df742a5243b5" /><Relationship Type="http://schemas.openxmlformats.org/officeDocument/2006/relationships/image" Target="/media/imaged.png" Id="Rbc6fe98ae8634fa7" /><Relationship Type="http://schemas.openxmlformats.org/officeDocument/2006/relationships/image" Target="/media/imagee.png" Id="R3a607b7309d34c75" /><Relationship Type="http://schemas.openxmlformats.org/officeDocument/2006/relationships/hyperlink" Target="https://assignmenthelp4me.com/essay/social-media-advantages-and-disadvantages.html" TargetMode="External" Id="Rba735b0710ac47e8" /><Relationship Type="http://schemas.openxmlformats.org/officeDocument/2006/relationships/image" Target="/media/imagef.png" Id="Rd4450ddb3af143c2" /><Relationship Type="http://schemas.openxmlformats.org/officeDocument/2006/relationships/image" Target="/media/image10.png" Id="R38a523a48eae4414" /><Relationship Type="http://schemas.openxmlformats.org/officeDocument/2006/relationships/hyperlink" Target="https://assignmenthelp4me.com/essay/online-shopping-essay.html" TargetMode="External" Id="Rb8f65216a43440be" /><Relationship Type="http://schemas.openxmlformats.org/officeDocument/2006/relationships/header" Target="header.xml" Id="Rfe449762b25c4c96" /><Relationship Type="http://schemas.openxmlformats.org/officeDocument/2006/relationships/footer" Target="footer.xml" Id="Re40abcfc6f7e45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2023-10-07T01:58:48.8308785Z</dcterms:created>
  <dcterms:modified xsi:type="dcterms:W3CDTF">2023-10-09T05:14:14.1726057Z</dcterms:modified>
  <dc:creator>David Caballero</dc:creator>
  <lastModifiedBy>David Caballero</lastModifiedBy>
</coreProperties>
</file>