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23 de octubre de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David Daniel Aquino Juárez</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 R E S E N T 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Por medio del ámbito laboral se pueden establecer recompensas e incentivos a los colaboradores, de acuerdo a los niveles salariales existentes en la empresa que, designamos según su formación educativa, la experiencia adquirida y sobre todo el tipo de responsabilidad que contrae el cargo en la empresa. Es por eso que la empresa </w:t>
      </w:r>
      <w:r w:rsidDel="00000000" w:rsidR="00000000" w:rsidRPr="00000000">
        <w:rPr>
          <w:b w:val="1"/>
          <w:rtl w:val="0"/>
        </w:rPr>
        <w:t xml:space="preserve">THE RESTAURANT BLUE OCEAN S.A.S </w:t>
      </w:r>
      <w:r w:rsidDel="00000000" w:rsidR="00000000" w:rsidRPr="00000000">
        <w:rPr>
          <w:rtl w:val="0"/>
        </w:rPr>
        <w:t xml:space="preserve">pretende diseñar una escala salarial, estableciendo factores claves para la elección del personal idóneo, con el fin de atraer la satisfacción de los colaboradores de la empresa. El cargo se evalúa para este sistema de compensación es el de </w:t>
      </w:r>
      <w:r w:rsidDel="00000000" w:rsidR="00000000" w:rsidRPr="00000000">
        <w:rPr>
          <w:b w:val="1"/>
          <w:rtl w:val="0"/>
        </w:rPr>
        <w:t xml:space="preserve">GERENTE DE EXPANSIÓN FRANQUICIATARIO. </w:t>
      </w:r>
      <w:r w:rsidDel="00000000" w:rsidR="00000000" w:rsidRPr="00000000">
        <w:rPr>
          <w:rtl w:val="0"/>
        </w:rPr>
        <w:t xml:space="preserve">Ya establecido el tipo de cargo existente en la empresa, se procederá a la selección de los factores y determinar las compensaciones y beneficios para el colaborador.</w:t>
      </w:r>
    </w:p>
    <w:p w:rsidR="00000000" w:rsidDel="00000000" w:rsidP="00000000" w:rsidRDefault="00000000" w:rsidRPr="00000000" w14:paraId="00000007">
      <w:pPr>
        <w:rPr/>
      </w:pPr>
      <w:r w:rsidDel="00000000" w:rsidR="00000000" w:rsidRPr="00000000">
        <w:rPr>
          <w:rtl w:val="0"/>
        </w:rPr>
      </w:r>
    </w:p>
    <w:tbl>
      <w:tblPr>
        <w:tblStyle w:val="Table1"/>
        <w:tblpPr w:leftFromText="180" w:rightFromText="180" w:topFromText="180" w:bottomFromText="180" w:vertAnchor="text" w:horzAnchor="text" w:tblpX="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530"/>
        <w:tblGridChange w:id="0">
          <w:tblGrid>
            <w:gridCol w:w="4470"/>
            <w:gridCol w:w="4530"/>
          </w:tblGrid>
        </w:tblGridChange>
      </w:tblGrid>
      <w:tr>
        <w:trPr>
          <w:cantSplit w:val="0"/>
          <w:trHeight w:val="417.978515625" w:hRule="atLeast"/>
          <w:tblHeader w:val="0"/>
        </w:trPr>
        <w:tc>
          <w:tcPr>
            <w:shd w:fill="4a86e8" w:val="clear"/>
          </w:tcPr>
          <w:p w:rsidR="00000000" w:rsidDel="00000000" w:rsidP="00000000" w:rsidRDefault="00000000" w:rsidRPr="00000000" w14:paraId="00000008">
            <w:pPr>
              <w:widowControl w:val="0"/>
              <w:spacing w:line="240" w:lineRule="auto"/>
              <w:jc w:val="center"/>
              <w:rPr>
                <w:b w:val="1"/>
                <w:color w:val="ffffff"/>
              </w:rPr>
            </w:pPr>
            <w:r w:rsidDel="00000000" w:rsidR="00000000" w:rsidRPr="00000000">
              <w:rPr>
                <w:b w:val="1"/>
                <w:color w:val="ffffff"/>
                <w:rtl w:val="0"/>
              </w:rPr>
              <w:t xml:space="preserve">CONCEPTO</w:t>
            </w:r>
          </w:p>
        </w:tc>
        <w:tc>
          <w:tcPr>
            <w:shd w:fill="4a86e8" w:val="clear"/>
          </w:tcPr>
          <w:p w:rsidR="00000000" w:rsidDel="00000000" w:rsidP="00000000" w:rsidRDefault="00000000" w:rsidRPr="00000000" w14:paraId="00000009">
            <w:pPr>
              <w:widowControl w:val="0"/>
              <w:spacing w:line="240" w:lineRule="auto"/>
              <w:jc w:val="center"/>
              <w:rPr>
                <w:b w:val="1"/>
                <w:color w:val="ffffff"/>
              </w:rPr>
            </w:pPr>
            <w:r w:rsidDel="00000000" w:rsidR="00000000" w:rsidRPr="00000000">
              <w:rPr>
                <w:b w:val="1"/>
                <w:color w:val="ffffff"/>
                <w:rtl w:val="0"/>
              </w:rPr>
              <w:t xml:space="preserve">MONTO</w:t>
            </w:r>
          </w:p>
        </w:tc>
      </w:tr>
      <w:tr>
        <w:trPr>
          <w:cantSplit w:val="0"/>
          <w:tblHeader w:val="0"/>
        </w:trPr>
        <w:tc>
          <w:tcPr>
            <w:vAlign w:val="center"/>
          </w:tcPr>
          <w:p w:rsidR="00000000" w:rsidDel="00000000" w:rsidP="00000000" w:rsidRDefault="00000000" w:rsidRPr="00000000" w14:paraId="0000000A">
            <w:pPr>
              <w:widowControl w:val="0"/>
              <w:spacing w:after="240" w:before="240" w:line="240" w:lineRule="auto"/>
              <w:rPr/>
            </w:pPr>
            <w:r w:rsidDel="00000000" w:rsidR="00000000" w:rsidRPr="00000000">
              <w:rPr>
                <w:rtl w:val="0"/>
              </w:rPr>
              <w:t xml:space="preserve">Sueldo base mensual</w:t>
            </w:r>
          </w:p>
        </w:tc>
        <w:tc>
          <w:tcPr>
            <w:vAlign w:val="center"/>
          </w:tcPr>
          <w:p w:rsidR="00000000" w:rsidDel="00000000" w:rsidP="00000000" w:rsidRDefault="00000000" w:rsidRPr="00000000" w14:paraId="0000000B">
            <w:pPr>
              <w:widowControl w:val="0"/>
              <w:spacing w:line="240" w:lineRule="auto"/>
              <w:rPr/>
            </w:pPr>
            <w:r w:rsidDel="00000000" w:rsidR="00000000" w:rsidRPr="00000000">
              <w:rPr>
                <w:rtl w:val="0"/>
              </w:rPr>
              <w:t xml:space="preserve">$40,000</w:t>
            </w:r>
          </w:p>
        </w:tc>
      </w:tr>
      <w:tr>
        <w:trPr>
          <w:cantSplit w:val="0"/>
          <w:tblHeader w:val="0"/>
        </w:trPr>
        <w:tc>
          <w:tcPr>
            <w:vAlign w:val="center"/>
          </w:tcPr>
          <w:p w:rsidR="00000000" w:rsidDel="00000000" w:rsidP="00000000" w:rsidRDefault="00000000" w:rsidRPr="00000000" w14:paraId="0000000C">
            <w:pPr>
              <w:widowControl w:val="0"/>
              <w:spacing w:after="240" w:before="240" w:line="240" w:lineRule="auto"/>
              <w:rPr/>
            </w:pPr>
            <w:r w:rsidDel="00000000" w:rsidR="00000000" w:rsidRPr="00000000">
              <w:rPr>
                <w:rtl w:val="0"/>
              </w:rPr>
              <w:t xml:space="preserve">Sueldo base anual</w:t>
            </w:r>
          </w:p>
        </w:tc>
        <w:tc>
          <w:tcPr>
            <w:vAlign w:val="center"/>
          </w:tcPr>
          <w:p w:rsidR="00000000" w:rsidDel="00000000" w:rsidP="00000000" w:rsidRDefault="00000000" w:rsidRPr="00000000" w14:paraId="0000000D">
            <w:pPr>
              <w:widowControl w:val="0"/>
              <w:spacing w:line="240" w:lineRule="auto"/>
              <w:rPr/>
            </w:pPr>
            <w:r w:rsidDel="00000000" w:rsidR="00000000" w:rsidRPr="00000000">
              <w:rPr>
                <w:rtl w:val="0"/>
              </w:rPr>
              <w:t xml:space="preserve">$480,000</w:t>
            </w:r>
          </w:p>
        </w:tc>
      </w:tr>
      <w:tr>
        <w:trPr>
          <w:cantSplit w:val="0"/>
          <w:tblHeader w:val="0"/>
        </w:trPr>
        <w:tc>
          <w:tcPr>
            <w:vAlign w:val="center"/>
          </w:tcPr>
          <w:p w:rsidR="00000000" w:rsidDel="00000000" w:rsidP="00000000" w:rsidRDefault="00000000" w:rsidRPr="00000000" w14:paraId="0000000E">
            <w:pPr>
              <w:widowControl w:val="0"/>
              <w:spacing w:after="240" w:before="240" w:line="240" w:lineRule="auto"/>
              <w:rPr/>
            </w:pPr>
            <w:r w:rsidDel="00000000" w:rsidR="00000000" w:rsidRPr="00000000">
              <w:rPr>
                <w:rtl w:val="0"/>
              </w:rPr>
              <w:t xml:space="preserve">Aguinaldo</w:t>
            </w:r>
          </w:p>
        </w:tc>
        <w:tc>
          <w:tcPr>
            <w:vAlign w:val="center"/>
          </w:tcPr>
          <w:p w:rsidR="00000000" w:rsidDel="00000000" w:rsidP="00000000" w:rsidRDefault="00000000" w:rsidRPr="00000000" w14:paraId="0000000F">
            <w:pPr>
              <w:widowControl w:val="0"/>
              <w:spacing w:line="240" w:lineRule="auto"/>
              <w:rPr/>
            </w:pPr>
            <w:r w:rsidDel="00000000" w:rsidR="00000000" w:rsidRPr="00000000">
              <w:rPr>
                <w:rtl w:val="0"/>
              </w:rPr>
              <w:t xml:space="preserve">$20,000</w:t>
            </w:r>
          </w:p>
        </w:tc>
      </w:tr>
      <w:tr>
        <w:trPr>
          <w:cantSplit w:val="0"/>
          <w:tblHeader w:val="0"/>
        </w:trPr>
        <w:tc>
          <w:tcPr>
            <w:vAlign w:val="center"/>
          </w:tcPr>
          <w:p w:rsidR="00000000" w:rsidDel="00000000" w:rsidP="00000000" w:rsidRDefault="00000000" w:rsidRPr="00000000" w14:paraId="00000010">
            <w:pPr>
              <w:widowControl w:val="0"/>
              <w:spacing w:after="240" w:before="240" w:line="240" w:lineRule="auto"/>
              <w:rPr/>
            </w:pPr>
            <w:r w:rsidDel="00000000" w:rsidR="00000000" w:rsidRPr="00000000">
              <w:rPr>
                <w:rtl w:val="0"/>
              </w:rPr>
              <w:t xml:space="preserve">Prima vacacional    </w:t>
            </w:r>
          </w:p>
        </w:tc>
        <w:tc>
          <w:tcPr>
            <w:vAlign w:val="center"/>
          </w:tcPr>
          <w:p w:rsidR="00000000" w:rsidDel="00000000" w:rsidP="00000000" w:rsidRDefault="00000000" w:rsidRPr="00000000" w14:paraId="00000011">
            <w:pPr>
              <w:widowControl w:val="0"/>
              <w:spacing w:line="240" w:lineRule="auto"/>
              <w:rPr/>
            </w:pPr>
            <w:r w:rsidDel="00000000" w:rsidR="00000000" w:rsidRPr="00000000">
              <w:rPr>
                <w:rtl w:val="0"/>
              </w:rPr>
              <w:t xml:space="preserve">$4,000</w:t>
            </w:r>
          </w:p>
        </w:tc>
      </w:tr>
      <w:tr>
        <w:trPr>
          <w:cantSplit w:val="0"/>
          <w:tblHeader w:val="0"/>
        </w:trPr>
        <w:tc>
          <w:tcPr>
            <w:vAlign w:val="center"/>
          </w:tcPr>
          <w:p w:rsidR="00000000" w:rsidDel="00000000" w:rsidP="00000000" w:rsidRDefault="00000000" w:rsidRPr="00000000" w14:paraId="00000012">
            <w:pPr>
              <w:widowControl w:val="0"/>
              <w:spacing w:after="240" w:before="240" w:line="240" w:lineRule="auto"/>
              <w:rPr/>
            </w:pPr>
            <w:r w:rsidDel="00000000" w:rsidR="00000000" w:rsidRPr="00000000">
              <w:rPr>
                <w:rtl w:val="0"/>
              </w:rPr>
              <w:t xml:space="preserve">Seguro social</w:t>
            </w:r>
          </w:p>
        </w:tc>
        <w:tc>
          <w:tcPr>
            <w:vAlign w:val="center"/>
          </w:tcPr>
          <w:p w:rsidR="00000000" w:rsidDel="00000000" w:rsidP="00000000" w:rsidRDefault="00000000" w:rsidRPr="00000000" w14:paraId="00000013">
            <w:pPr>
              <w:widowControl w:val="0"/>
              <w:spacing w:line="240" w:lineRule="auto"/>
              <w:rPr/>
            </w:pPr>
            <w:r w:rsidDel="00000000" w:rsidR="00000000" w:rsidRPr="00000000">
              <w:rPr>
                <w:rtl w:val="0"/>
              </w:rPr>
              <w:t xml:space="preserve">$5,000</w:t>
            </w:r>
          </w:p>
        </w:tc>
      </w:tr>
      <w:tr>
        <w:trPr>
          <w:cantSplit w:val="0"/>
          <w:tblHeader w:val="0"/>
        </w:trPr>
        <w:tc>
          <w:tcPr>
            <w:vAlign w:val="center"/>
          </w:tcPr>
          <w:p w:rsidR="00000000" w:rsidDel="00000000" w:rsidP="00000000" w:rsidRDefault="00000000" w:rsidRPr="00000000" w14:paraId="00000014">
            <w:pPr>
              <w:widowControl w:val="0"/>
              <w:spacing w:after="240" w:before="240" w:line="240" w:lineRule="auto"/>
              <w:rPr/>
            </w:pPr>
            <w:r w:rsidDel="00000000" w:rsidR="00000000" w:rsidRPr="00000000">
              <w:rPr>
                <w:rtl w:val="0"/>
              </w:rPr>
              <w:t xml:space="preserve">Días festivos pagados (10 días al año)</w:t>
            </w:r>
          </w:p>
        </w:tc>
        <w:tc>
          <w:tcPr>
            <w:vAlign w:val="center"/>
          </w:tcPr>
          <w:p w:rsidR="00000000" w:rsidDel="00000000" w:rsidP="00000000" w:rsidRDefault="00000000" w:rsidRPr="00000000" w14:paraId="00000015">
            <w:pPr>
              <w:widowControl w:val="0"/>
              <w:spacing w:line="240" w:lineRule="auto"/>
              <w:rPr/>
            </w:pPr>
            <w:r w:rsidDel="00000000" w:rsidR="00000000" w:rsidRPr="00000000">
              <w:rPr>
                <w:rtl w:val="0"/>
              </w:rPr>
              <w:t xml:space="preserve">$13,500</w:t>
            </w:r>
          </w:p>
        </w:tc>
      </w:tr>
      <w:tr>
        <w:trPr>
          <w:cantSplit w:val="0"/>
          <w:trHeight w:val="432.978515625" w:hRule="atLeast"/>
          <w:tblHeader w:val="0"/>
        </w:trPr>
        <w:tc>
          <w:tcPr>
            <w:vAlign w:val="center"/>
          </w:tcPr>
          <w:p w:rsidR="00000000" w:rsidDel="00000000" w:rsidP="00000000" w:rsidRDefault="00000000" w:rsidRPr="00000000" w14:paraId="00000016">
            <w:pPr>
              <w:widowControl w:val="0"/>
              <w:spacing w:after="240" w:before="240" w:line="240" w:lineRule="auto"/>
              <w:rPr/>
            </w:pPr>
            <w:r w:rsidDel="00000000" w:rsidR="00000000" w:rsidRPr="00000000">
              <w:rPr>
                <w:rtl w:val="0"/>
              </w:rPr>
              <w:t xml:space="preserve">Fondo de ahorro</w:t>
            </w:r>
          </w:p>
        </w:tc>
        <w:tc>
          <w:tcPr>
            <w:vAlign w:val="center"/>
          </w:tcPr>
          <w:p w:rsidR="00000000" w:rsidDel="00000000" w:rsidP="00000000" w:rsidRDefault="00000000" w:rsidRPr="00000000" w14:paraId="00000017">
            <w:pPr>
              <w:widowControl w:val="0"/>
              <w:spacing w:line="240" w:lineRule="auto"/>
              <w:rPr/>
            </w:pPr>
            <w:r w:rsidDel="00000000" w:rsidR="00000000" w:rsidRPr="00000000">
              <w:rPr>
                <w:rtl w:val="0"/>
              </w:rPr>
              <w:t xml:space="preserve">$3,500</w:t>
            </w:r>
          </w:p>
        </w:tc>
      </w:tr>
      <w:tr>
        <w:trPr>
          <w:cantSplit w:val="0"/>
          <w:trHeight w:val="12.978515625" w:hRule="atLeast"/>
          <w:tblHeader w:val="0"/>
        </w:trPr>
        <w:tc>
          <w:tcPr>
            <w:vAlign w:val="center"/>
          </w:tcPr>
          <w:p w:rsidR="00000000" w:rsidDel="00000000" w:rsidP="00000000" w:rsidRDefault="00000000" w:rsidRPr="00000000" w14:paraId="00000018">
            <w:pPr>
              <w:widowControl w:val="0"/>
              <w:spacing w:after="240" w:before="240" w:line="240" w:lineRule="auto"/>
              <w:rPr/>
            </w:pPr>
            <w:r w:rsidDel="00000000" w:rsidR="00000000" w:rsidRPr="00000000">
              <w:rPr>
                <w:rtl w:val="0"/>
              </w:rPr>
              <w:t xml:space="preserve">Vales de despensa</w:t>
            </w:r>
          </w:p>
        </w:tc>
        <w:tc>
          <w:tcPr>
            <w:vAlign w:val="center"/>
          </w:tcPr>
          <w:p w:rsidR="00000000" w:rsidDel="00000000" w:rsidP="00000000" w:rsidRDefault="00000000" w:rsidRPr="00000000" w14:paraId="00000019">
            <w:pPr>
              <w:widowControl w:val="0"/>
              <w:spacing w:line="240" w:lineRule="auto"/>
              <w:rPr/>
            </w:pPr>
            <w:r w:rsidDel="00000000" w:rsidR="00000000" w:rsidRPr="00000000">
              <w:rPr>
                <w:rtl w:val="0"/>
              </w:rPr>
              <w:t xml:space="preserve">$7,500</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Seguro de Salud Integral (hasta 3 familiares directos)</w:t>
            </w:r>
          </w:p>
        </w:tc>
        <w:tc>
          <w:tcPr/>
          <w:p w:rsidR="00000000" w:rsidDel="00000000" w:rsidP="00000000" w:rsidRDefault="00000000" w:rsidRPr="00000000" w14:paraId="0000001B">
            <w:pPr>
              <w:widowControl w:val="0"/>
              <w:spacing w:line="240" w:lineRule="auto"/>
              <w:rPr/>
            </w:pPr>
            <w:r w:rsidDel="00000000" w:rsidR="00000000" w:rsidRPr="00000000">
              <w:rPr>
                <w:rtl w:val="0"/>
              </w:rPr>
              <w:t xml:space="preserve">$5,000</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 Plan de Retiro: Contribución empresa del 10% del sueldo anual.</w:t>
      </w:r>
    </w:p>
    <w:p w:rsidR="00000000" w:rsidDel="00000000" w:rsidP="00000000" w:rsidRDefault="00000000" w:rsidRPr="00000000" w14:paraId="0000001E">
      <w:pPr>
        <w:rPr/>
      </w:pPr>
      <w:r w:rsidDel="00000000" w:rsidR="00000000" w:rsidRPr="00000000">
        <w:rPr>
          <w:rtl w:val="0"/>
        </w:rPr>
        <w:t xml:space="preserve">3. Bono de Desempeño: Hasta 20% del sueldo anual, basado en objetivos y resultados.</w:t>
      </w:r>
    </w:p>
    <w:p w:rsidR="00000000" w:rsidDel="00000000" w:rsidP="00000000" w:rsidRDefault="00000000" w:rsidRPr="00000000" w14:paraId="0000001F">
      <w:pPr>
        <w:rPr/>
      </w:pPr>
      <w:r w:rsidDel="00000000" w:rsidR="00000000" w:rsidRPr="00000000">
        <w:rPr>
          <w:rtl w:val="0"/>
        </w:rPr>
        <w:t xml:space="preserve">4. Oportunidades de Capacitación: Acceso a cursos y certificaciones en tecnología y liderazgo.</w:t>
      </w:r>
    </w:p>
    <w:p w:rsidR="00000000" w:rsidDel="00000000" w:rsidP="00000000" w:rsidRDefault="00000000" w:rsidRPr="00000000" w14:paraId="00000020">
      <w:pPr>
        <w:rPr/>
      </w:pPr>
      <w:r w:rsidDel="00000000" w:rsidR="00000000" w:rsidRPr="00000000">
        <w:rPr>
          <w:rtl w:val="0"/>
        </w:rPr>
        <w:t xml:space="preserve">5. Flexibilidad Laboral: Horario flexible y trabajo remoto hasta 2 días a la semana.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Beneficios Adicionales:</w:t>
      </w:r>
    </w:p>
    <w:p w:rsidR="00000000" w:rsidDel="00000000" w:rsidP="00000000" w:rsidRDefault="00000000" w:rsidRPr="00000000" w14:paraId="00000023">
      <w:pPr>
        <w:rPr/>
      </w:pPr>
      <w:r w:rsidDel="00000000" w:rsidR="00000000" w:rsidRPr="00000000">
        <w:rPr>
          <w:rtl w:val="0"/>
        </w:rPr>
        <w:t xml:space="preserve">- Acceso a tecnología de vanguardia</w:t>
      </w:r>
    </w:p>
    <w:p w:rsidR="00000000" w:rsidDel="00000000" w:rsidP="00000000" w:rsidRDefault="00000000" w:rsidRPr="00000000" w14:paraId="00000024">
      <w:pPr>
        <w:rPr/>
      </w:pPr>
      <w:r w:rsidDel="00000000" w:rsidR="00000000" w:rsidRPr="00000000">
        <w:rPr>
          <w:rtl w:val="0"/>
        </w:rPr>
        <w:t xml:space="preserve">- Entorno laboral dinámico y colaborativo</w:t>
      </w:r>
    </w:p>
    <w:p w:rsidR="00000000" w:rsidDel="00000000" w:rsidP="00000000" w:rsidRDefault="00000000" w:rsidRPr="00000000" w14:paraId="00000025">
      <w:pPr>
        <w:rPr/>
      </w:pPr>
      <w:r w:rsidDel="00000000" w:rsidR="00000000" w:rsidRPr="00000000">
        <w:rPr>
          <w:rtl w:val="0"/>
        </w:rPr>
        <w:t xml:space="preserve">- Oportunidades de crecimiento profesional</w:t>
      </w:r>
    </w:p>
    <w:p w:rsidR="00000000" w:rsidDel="00000000" w:rsidP="00000000" w:rsidRDefault="00000000" w:rsidRPr="00000000" w14:paraId="00000026">
      <w:pPr>
        <w:rPr/>
      </w:pPr>
      <w:r w:rsidDel="00000000" w:rsidR="00000000" w:rsidRPr="00000000">
        <w:rPr>
          <w:rtl w:val="0"/>
        </w:rPr>
        <w:t xml:space="preserve">- Reconocimientos y premios por logros destacados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color w:val="4b4b4b"/>
          <w:sz w:val="24"/>
          <w:szCs w:val="24"/>
          <w:highlight w:val="white"/>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