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3" w:rsidRPr="002E2EF3" w:rsidRDefault="002E2EF3" w:rsidP="002E2EF3">
      <w:pPr>
        <w:tabs>
          <w:tab w:val="left" w:pos="2055"/>
        </w:tabs>
        <w:jc w:val="center"/>
      </w:pPr>
      <w:r>
        <w:rPr>
          <w:noProof/>
          <w:lang w:eastAsia="es-MX"/>
        </w:rPr>
        <w:drawing>
          <wp:inline distT="0" distB="0" distL="0" distR="0">
            <wp:extent cx="4676831" cy="1332897"/>
            <wp:effectExtent l="19050" t="19050" r="9525" b="19685"/>
            <wp:docPr id="1" name="Imagen 1" descr="Instituto Nacional de Estudios Fiscales A.C. – IN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Nacional de Estudios Fiscales A.C. – IN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98" cy="13394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2E2EF3" w:rsidRPr="000C7B67" w:rsidRDefault="002E2EF3" w:rsidP="002E2EF3">
      <w:pPr>
        <w:tabs>
          <w:tab w:val="left" w:pos="2055"/>
        </w:tabs>
        <w:jc w:val="center"/>
        <w:rPr>
          <w:rFonts w:ascii="Arial" w:hAnsi="Arial" w:cs="Arial"/>
          <w:sz w:val="28"/>
          <w:szCs w:val="24"/>
        </w:rPr>
      </w:pPr>
    </w:p>
    <w:p w:rsidR="002E2EF3" w:rsidRPr="009B5B7A" w:rsidRDefault="002E2EF3" w:rsidP="002E2EF3">
      <w:pPr>
        <w:tabs>
          <w:tab w:val="left" w:pos="2055"/>
        </w:tabs>
        <w:jc w:val="center"/>
        <w:rPr>
          <w:rFonts w:ascii="Arial" w:hAnsi="Arial" w:cs="Arial"/>
          <w:sz w:val="32"/>
          <w:szCs w:val="24"/>
        </w:rPr>
      </w:pPr>
      <w:r w:rsidRPr="009B5B7A">
        <w:rPr>
          <w:rFonts w:ascii="Arial" w:hAnsi="Arial" w:cs="Arial"/>
          <w:sz w:val="32"/>
          <w:szCs w:val="24"/>
        </w:rPr>
        <w:t>Primer</w:t>
      </w:r>
      <w:r w:rsidRPr="009B5B7A">
        <w:rPr>
          <w:rFonts w:ascii="Arial" w:hAnsi="Arial" w:cs="Arial"/>
          <w:sz w:val="32"/>
          <w:szCs w:val="24"/>
        </w:rPr>
        <w:t xml:space="preserve"> semestre.</w:t>
      </w:r>
    </w:p>
    <w:p w:rsidR="002E2EF3" w:rsidRPr="009B5B7A" w:rsidRDefault="002E2EF3" w:rsidP="002E2EF3">
      <w:pPr>
        <w:tabs>
          <w:tab w:val="left" w:pos="2055"/>
        </w:tabs>
        <w:jc w:val="center"/>
        <w:rPr>
          <w:rFonts w:ascii="Arial" w:hAnsi="Arial" w:cs="Arial"/>
          <w:sz w:val="32"/>
          <w:szCs w:val="24"/>
        </w:rPr>
      </w:pPr>
      <w:r w:rsidRPr="009B5B7A">
        <w:rPr>
          <w:rFonts w:ascii="Arial" w:hAnsi="Arial" w:cs="Arial"/>
          <w:sz w:val="32"/>
          <w:szCs w:val="24"/>
        </w:rPr>
        <w:t>Grupo A</w:t>
      </w:r>
    </w:p>
    <w:p w:rsidR="002E2EF3" w:rsidRDefault="002E2EF3" w:rsidP="002E2EF3">
      <w:pPr>
        <w:tabs>
          <w:tab w:val="left" w:pos="2055"/>
        </w:tabs>
        <w:jc w:val="center"/>
        <w:rPr>
          <w:rFonts w:ascii="Arial" w:hAnsi="Arial" w:cs="Arial"/>
          <w:sz w:val="32"/>
          <w:szCs w:val="24"/>
        </w:rPr>
      </w:pPr>
    </w:p>
    <w:p w:rsidR="009B5B7A" w:rsidRPr="009B5B7A" w:rsidRDefault="009B5B7A" w:rsidP="002E2EF3">
      <w:pPr>
        <w:tabs>
          <w:tab w:val="left" w:pos="2055"/>
        </w:tabs>
        <w:jc w:val="center"/>
        <w:rPr>
          <w:rFonts w:ascii="Arial" w:hAnsi="Arial" w:cs="Arial"/>
          <w:sz w:val="32"/>
          <w:szCs w:val="24"/>
        </w:rPr>
      </w:pPr>
    </w:p>
    <w:p w:rsidR="002E2EF3" w:rsidRPr="009B5B7A" w:rsidRDefault="002E2EF3" w:rsidP="002E2EF3">
      <w:pPr>
        <w:tabs>
          <w:tab w:val="left" w:pos="2055"/>
        </w:tabs>
        <w:jc w:val="center"/>
        <w:rPr>
          <w:rFonts w:ascii="Arial" w:hAnsi="Arial" w:cs="Arial"/>
          <w:sz w:val="32"/>
          <w:szCs w:val="24"/>
        </w:rPr>
      </w:pPr>
      <w:r w:rsidRPr="009B5B7A">
        <w:rPr>
          <w:rFonts w:ascii="Arial" w:hAnsi="Arial" w:cs="Arial"/>
          <w:sz w:val="32"/>
          <w:szCs w:val="24"/>
        </w:rPr>
        <w:t>Contabilidad Empresarial</w:t>
      </w:r>
    </w:p>
    <w:p w:rsidR="002E2EF3" w:rsidRPr="009B5B7A" w:rsidRDefault="009B5B7A" w:rsidP="002E2EF3">
      <w:pPr>
        <w:tabs>
          <w:tab w:val="left" w:pos="2055"/>
        </w:tabs>
        <w:jc w:val="center"/>
        <w:rPr>
          <w:rFonts w:ascii="Arial" w:hAnsi="Arial" w:cs="Arial"/>
          <w:sz w:val="32"/>
          <w:szCs w:val="24"/>
        </w:rPr>
      </w:pPr>
      <w:r w:rsidRPr="009B5B7A">
        <w:rPr>
          <w:rFonts w:ascii="Arial" w:hAnsi="Arial" w:cs="Arial"/>
          <w:sz w:val="32"/>
          <w:szCs w:val="24"/>
        </w:rPr>
        <w:t>Jorge Enrique Padilla Arguello</w:t>
      </w:r>
    </w:p>
    <w:p w:rsidR="002E2EF3" w:rsidRPr="009B5B7A" w:rsidRDefault="002E2EF3" w:rsidP="002E2EF3">
      <w:pPr>
        <w:tabs>
          <w:tab w:val="left" w:pos="2055"/>
        </w:tabs>
        <w:jc w:val="center"/>
        <w:rPr>
          <w:rFonts w:ascii="Arial" w:hAnsi="Arial" w:cs="Arial"/>
          <w:sz w:val="32"/>
          <w:szCs w:val="24"/>
        </w:rPr>
      </w:pPr>
    </w:p>
    <w:p w:rsidR="002E2EF3" w:rsidRPr="009B5B7A" w:rsidRDefault="002E2EF3" w:rsidP="002E2EF3">
      <w:pPr>
        <w:tabs>
          <w:tab w:val="left" w:pos="2055"/>
        </w:tabs>
        <w:jc w:val="center"/>
        <w:rPr>
          <w:rFonts w:ascii="Arial" w:hAnsi="Arial" w:cs="Arial"/>
          <w:sz w:val="32"/>
          <w:szCs w:val="24"/>
        </w:rPr>
      </w:pPr>
    </w:p>
    <w:p w:rsidR="002E2EF3" w:rsidRPr="009B5B7A" w:rsidRDefault="009B5B7A" w:rsidP="002E2EF3">
      <w:pPr>
        <w:tabs>
          <w:tab w:val="left" w:pos="2055"/>
        </w:tabs>
        <w:jc w:val="center"/>
        <w:rPr>
          <w:rFonts w:ascii="Arial" w:hAnsi="Arial" w:cs="Arial"/>
          <w:sz w:val="32"/>
          <w:szCs w:val="24"/>
        </w:rPr>
      </w:pPr>
      <w:r w:rsidRPr="009B5B7A">
        <w:rPr>
          <w:rFonts w:ascii="Arial" w:hAnsi="Arial" w:cs="Arial"/>
          <w:sz w:val="32"/>
          <w:szCs w:val="24"/>
        </w:rPr>
        <w:t>Ensayo</w:t>
      </w:r>
    </w:p>
    <w:p w:rsidR="002E2EF3" w:rsidRPr="009B5B7A" w:rsidRDefault="002E2EF3" w:rsidP="002E2EF3">
      <w:pPr>
        <w:tabs>
          <w:tab w:val="left" w:pos="2055"/>
        </w:tabs>
        <w:jc w:val="center"/>
        <w:rPr>
          <w:rFonts w:ascii="Arial" w:hAnsi="Arial" w:cs="Arial"/>
          <w:sz w:val="28"/>
          <w:szCs w:val="24"/>
        </w:rPr>
      </w:pPr>
    </w:p>
    <w:p w:rsidR="002E2EF3" w:rsidRPr="009B5B7A" w:rsidRDefault="002E2EF3" w:rsidP="009B5B7A">
      <w:pPr>
        <w:tabs>
          <w:tab w:val="left" w:pos="2055"/>
        </w:tabs>
        <w:jc w:val="center"/>
        <w:rPr>
          <w:rFonts w:ascii="Arial" w:hAnsi="Arial" w:cs="Arial"/>
          <w:sz w:val="28"/>
          <w:szCs w:val="24"/>
        </w:rPr>
      </w:pPr>
      <w:r w:rsidRPr="009B5B7A">
        <w:rPr>
          <w:rFonts w:ascii="Arial" w:hAnsi="Arial" w:cs="Arial"/>
          <w:sz w:val="28"/>
          <w:szCs w:val="24"/>
        </w:rPr>
        <w:br w:type="textWrapping" w:clear="all"/>
      </w:r>
      <w:r w:rsidR="009B5B7A" w:rsidRPr="009B5B7A">
        <w:rPr>
          <w:rFonts w:ascii="Arial" w:hAnsi="Arial" w:cs="Arial"/>
          <w:sz w:val="28"/>
          <w:szCs w:val="24"/>
        </w:rPr>
        <w:t>David Manuel Hernández Juárez</w:t>
      </w:r>
    </w:p>
    <w:p w:rsidR="002E2EF3" w:rsidRPr="0009293D" w:rsidRDefault="002E2EF3" w:rsidP="002E2EF3">
      <w:pPr>
        <w:rPr>
          <w:rFonts w:ascii="Arial" w:hAnsi="Arial" w:cs="Arial"/>
          <w:sz w:val="24"/>
          <w:szCs w:val="24"/>
        </w:rPr>
      </w:pPr>
    </w:p>
    <w:p w:rsidR="002E2EF3" w:rsidRDefault="002E2EF3" w:rsidP="002E2EF3">
      <w:pPr>
        <w:rPr>
          <w:rFonts w:ascii="Arial" w:hAnsi="Arial" w:cs="Arial"/>
          <w:sz w:val="24"/>
          <w:szCs w:val="24"/>
        </w:rPr>
      </w:pPr>
    </w:p>
    <w:p w:rsidR="002E2EF3" w:rsidRDefault="002E2EF3" w:rsidP="002E2EF3">
      <w:pPr>
        <w:rPr>
          <w:rFonts w:ascii="Arial" w:hAnsi="Arial" w:cs="Arial"/>
          <w:sz w:val="24"/>
          <w:szCs w:val="24"/>
        </w:rPr>
      </w:pPr>
    </w:p>
    <w:p w:rsidR="002E2EF3" w:rsidRDefault="002E2EF3" w:rsidP="002E2EF3">
      <w:pPr>
        <w:rPr>
          <w:rFonts w:ascii="Arial" w:hAnsi="Arial" w:cs="Arial"/>
          <w:sz w:val="24"/>
          <w:szCs w:val="24"/>
        </w:rPr>
      </w:pPr>
    </w:p>
    <w:p w:rsidR="002E2EF3" w:rsidRPr="003025C1" w:rsidRDefault="002E2EF3" w:rsidP="002E2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Tuxtla Gutiérrez, Chiapas                                   </w:t>
      </w:r>
      <w:r w:rsidR="009B5B7A">
        <w:rPr>
          <w:rFonts w:ascii="Arial" w:hAnsi="Arial" w:cs="Arial"/>
          <w:sz w:val="24"/>
          <w:szCs w:val="24"/>
        </w:rPr>
        <w:t xml:space="preserve">         </w:t>
      </w:r>
      <w:r w:rsidR="009B5B7A">
        <w:rPr>
          <w:rFonts w:ascii="Arial" w:hAnsi="Arial" w:cs="Arial"/>
          <w:sz w:val="24"/>
          <w:szCs w:val="24"/>
        </w:rPr>
        <w:tab/>
      </w:r>
      <w:r w:rsidR="009B5B7A">
        <w:rPr>
          <w:rFonts w:ascii="Arial" w:hAnsi="Arial" w:cs="Arial"/>
          <w:sz w:val="24"/>
          <w:szCs w:val="24"/>
        </w:rPr>
        <w:tab/>
        <w:t>29 de agosto 2022</w:t>
      </w:r>
    </w:p>
    <w:p w:rsidR="008C1A2E" w:rsidRDefault="008C1A2E"/>
    <w:p w:rsidR="009B5B7A" w:rsidRDefault="009B5B7A"/>
    <w:p w:rsidR="00972A73" w:rsidRDefault="00972A73" w:rsidP="0014541E">
      <w:pPr>
        <w:spacing w:line="240" w:lineRule="auto"/>
        <w:jc w:val="both"/>
      </w:pPr>
    </w:p>
    <w:p w:rsidR="00106B00" w:rsidRPr="0014541E" w:rsidRDefault="00A735F4" w:rsidP="0014541E">
      <w:pPr>
        <w:spacing w:line="240" w:lineRule="auto"/>
        <w:jc w:val="both"/>
        <w:rPr>
          <w:rFonts w:ascii="Arial" w:hAnsi="Arial" w:cs="Arial"/>
          <w:sz w:val="24"/>
        </w:rPr>
      </w:pPr>
      <w:r w:rsidRPr="0014541E">
        <w:rPr>
          <w:rFonts w:ascii="Arial" w:hAnsi="Arial" w:cs="Arial"/>
          <w:sz w:val="24"/>
        </w:rPr>
        <w:lastRenderedPageBreak/>
        <w:t>Contabilidad Empresarial</w:t>
      </w:r>
      <w:r w:rsidR="00106B00">
        <w:rPr>
          <w:rFonts w:ascii="Arial" w:hAnsi="Arial" w:cs="Arial"/>
          <w:sz w:val="24"/>
        </w:rPr>
        <w:t>.</w:t>
      </w:r>
    </w:p>
    <w:p w:rsidR="009B5B7A" w:rsidRPr="0014541E" w:rsidRDefault="009B5B7A" w:rsidP="0014541E">
      <w:pPr>
        <w:spacing w:line="240" w:lineRule="auto"/>
        <w:jc w:val="both"/>
        <w:rPr>
          <w:rFonts w:ascii="Arial" w:hAnsi="Arial" w:cs="Arial"/>
          <w:sz w:val="24"/>
        </w:rPr>
      </w:pPr>
      <w:r w:rsidRPr="0014541E">
        <w:rPr>
          <w:rFonts w:ascii="Arial" w:hAnsi="Arial" w:cs="Arial"/>
          <w:sz w:val="24"/>
        </w:rPr>
        <w:t>La finalidad de la materia es el poder interpretar los estados financieros y ver la situación en la que se encuentra nuestra empres</w:t>
      </w:r>
      <w:r w:rsidR="00A735F4" w:rsidRPr="0014541E">
        <w:rPr>
          <w:rFonts w:ascii="Arial" w:hAnsi="Arial" w:cs="Arial"/>
          <w:sz w:val="24"/>
        </w:rPr>
        <w:t>a para así poder tomar acción.</w:t>
      </w:r>
    </w:p>
    <w:p w:rsidR="009B5B7A" w:rsidRPr="0014541E" w:rsidRDefault="009B5B7A" w:rsidP="0014541E">
      <w:pPr>
        <w:spacing w:line="240" w:lineRule="auto"/>
        <w:jc w:val="both"/>
        <w:rPr>
          <w:rFonts w:ascii="Arial" w:hAnsi="Arial" w:cs="Arial"/>
          <w:sz w:val="24"/>
        </w:rPr>
      </w:pPr>
      <w:r w:rsidRPr="0014541E">
        <w:rPr>
          <w:rFonts w:ascii="Arial" w:hAnsi="Arial" w:cs="Arial"/>
          <w:sz w:val="24"/>
        </w:rPr>
        <w:t>La diferencia entre gasto y costo es que la primera viene a ser la aplicación de un recurso económico en la que no existe una utilidad (renta de un local, pago a los trabajadores, etc.), mientras el costo es la aplicación de recursos en la que sí existe un aprovechamiento o una utilidad a corto, mediano o largo plazo, llevándote a un retorno de inversión. Se considera una buena inversión cuando es dirigido a activos fi</w:t>
      </w:r>
      <w:r w:rsidR="00A735F4" w:rsidRPr="0014541E">
        <w:rPr>
          <w:rFonts w:ascii="Arial" w:hAnsi="Arial" w:cs="Arial"/>
          <w:sz w:val="24"/>
        </w:rPr>
        <w:t>jos (bienes, inmuebles, etc.).</w:t>
      </w:r>
    </w:p>
    <w:p w:rsidR="00A735F4" w:rsidRPr="0014541E" w:rsidRDefault="009B5B7A" w:rsidP="0014541E">
      <w:pPr>
        <w:spacing w:line="240" w:lineRule="auto"/>
        <w:jc w:val="both"/>
        <w:rPr>
          <w:rFonts w:ascii="Arial" w:hAnsi="Arial" w:cs="Arial"/>
          <w:sz w:val="24"/>
        </w:rPr>
      </w:pPr>
      <w:r w:rsidRPr="0014541E">
        <w:rPr>
          <w:rFonts w:ascii="Arial" w:hAnsi="Arial" w:cs="Arial"/>
          <w:sz w:val="24"/>
        </w:rPr>
        <w:t xml:space="preserve">Existen ciertas características con los que deben cumplir los estados financieros, son las Normas de Información Financiera (NIF) emitidos por el Consejo Mexicano de Normas Financieras (CINIF) del Instituto Mexicano </w:t>
      </w:r>
      <w:r w:rsidR="00A735F4" w:rsidRPr="0014541E">
        <w:rPr>
          <w:rFonts w:ascii="Arial" w:hAnsi="Arial" w:cs="Arial"/>
          <w:sz w:val="24"/>
        </w:rPr>
        <w:t>de Contadores Públicos (IMCP).</w:t>
      </w:r>
    </w:p>
    <w:p w:rsidR="009B5B7A" w:rsidRPr="0014541E" w:rsidRDefault="009B5B7A" w:rsidP="0014541E">
      <w:pPr>
        <w:spacing w:line="240" w:lineRule="auto"/>
        <w:jc w:val="both"/>
        <w:rPr>
          <w:rFonts w:ascii="Arial" w:hAnsi="Arial" w:cs="Arial"/>
          <w:sz w:val="24"/>
        </w:rPr>
      </w:pPr>
      <w:r w:rsidRPr="0014541E">
        <w:rPr>
          <w:rFonts w:ascii="Arial" w:hAnsi="Arial" w:cs="Arial"/>
          <w:sz w:val="24"/>
        </w:rPr>
        <w:t>La NIF A-1 párrafo 3 nos habla acerca de la estructura de éstas. Define la contabilidad como técnica que se usa para el registro de las operaciones que afecta económicamente a una entidad (ventas, ingresos, gastos, costos, flujos de efectivo, etc.).</w:t>
      </w:r>
    </w:p>
    <w:p w:rsidR="009B5B7A" w:rsidRPr="0014541E" w:rsidRDefault="009B5B7A" w:rsidP="0014541E">
      <w:pPr>
        <w:spacing w:line="240" w:lineRule="auto"/>
        <w:jc w:val="both"/>
        <w:rPr>
          <w:rFonts w:ascii="Arial" w:hAnsi="Arial" w:cs="Arial"/>
          <w:sz w:val="24"/>
        </w:rPr>
      </w:pPr>
      <w:r w:rsidRPr="0014541E">
        <w:rPr>
          <w:rFonts w:ascii="Arial" w:hAnsi="Arial" w:cs="Arial"/>
          <w:sz w:val="24"/>
        </w:rPr>
        <w:t xml:space="preserve">El párrafo 4 de la misma resalta que el objetivo de estas NIF es para evaluar el desenvolvimiento de la entidad proporcionando elementos de juicio para estimar el comportamiento </w:t>
      </w:r>
      <w:r w:rsidR="00972A73" w:rsidRPr="0014541E">
        <w:rPr>
          <w:rFonts w:ascii="Arial" w:hAnsi="Arial" w:cs="Arial"/>
          <w:sz w:val="24"/>
        </w:rPr>
        <w:t>futuro,</w:t>
      </w:r>
      <w:r w:rsidRPr="0014541E">
        <w:rPr>
          <w:rFonts w:ascii="Arial" w:hAnsi="Arial" w:cs="Arial"/>
          <w:sz w:val="24"/>
        </w:rPr>
        <w:t xml:space="preserve"> a</w:t>
      </w:r>
      <w:r w:rsidR="00A735F4" w:rsidRPr="0014541E">
        <w:rPr>
          <w:rFonts w:ascii="Arial" w:hAnsi="Arial" w:cs="Arial"/>
          <w:sz w:val="24"/>
        </w:rPr>
        <w:t>sí como los flujos de efectivo.</w:t>
      </w:r>
    </w:p>
    <w:p w:rsidR="00A735F4" w:rsidRPr="0014541E" w:rsidRDefault="009B5B7A" w:rsidP="0014541E">
      <w:pPr>
        <w:spacing w:line="240" w:lineRule="auto"/>
        <w:jc w:val="both"/>
        <w:rPr>
          <w:rFonts w:ascii="Arial" w:hAnsi="Arial" w:cs="Arial"/>
          <w:sz w:val="24"/>
        </w:rPr>
      </w:pPr>
      <w:r w:rsidRPr="0014541E">
        <w:rPr>
          <w:rFonts w:ascii="Arial" w:hAnsi="Arial" w:cs="Arial"/>
          <w:sz w:val="24"/>
        </w:rPr>
        <w:t xml:space="preserve">En el párrafo 5 comenta que </w:t>
      </w:r>
      <w:r w:rsidR="00972A73">
        <w:rPr>
          <w:rFonts w:ascii="Arial" w:hAnsi="Arial" w:cs="Arial"/>
          <w:sz w:val="24"/>
        </w:rPr>
        <w:t>se busca</w:t>
      </w:r>
      <w:r w:rsidRPr="0014541E">
        <w:rPr>
          <w:rFonts w:ascii="Arial" w:hAnsi="Arial" w:cs="Arial"/>
          <w:sz w:val="24"/>
        </w:rPr>
        <w:t xml:space="preserve"> satisfacer las necesidades de los usuarios donde el objetivo depende del </w:t>
      </w:r>
      <w:r w:rsidR="00972A73">
        <w:rPr>
          <w:rFonts w:ascii="Arial" w:hAnsi="Arial" w:cs="Arial"/>
          <w:sz w:val="24"/>
        </w:rPr>
        <w:t>mismo que lo usa</w:t>
      </w:r>
      <w:r w:rsidRPr="0014541E">
        <w:rPr>
          <w:rFonts w:ascii="Arial" w:hAnsi="Arial" w:cs="Arial"/>
          <w:sz w:val="24"/>
        </w:rPr>
        <w:t xml:space="preserve">, sirve para la transparencia de la empresa con el SAT, </w:t>
      </w:r>
      <w:r w:rsidR="00972A73">
        <w:rPr>
          <w:rFonts w:ascii="Arial" w:hAnsi="Arial" w:cs="Arial"/>
          <w:sz w:val="24"/>
        </w:rPr>
        <w:t>provee</w:t>
      </w:r>
      <w:r w:rsidR="00972A73" w:rsidRPr="0014541E">
        <w:rPr>
          <w:rFonts w:ascii="Arial" w:hAnsi="Arial" w:cs="Arial"/>
          <w:sz w:val="24"/>
        </w:rPr>
        <w:t>dores</w:t>
      </w:r>
      <w:r w:rsidRPr="0014541E">
        <w:rPr>
          <w:rFonts w:ascii="Arial" w:hAnsi="Arial" w:cs="Arial"/>
          <w:sz w:val="24"/>
        </w:rPr>
        <w:t>, etc. Objetivo: comportamiento económico de la empresa, su estabilidad, su efectividad, su vulnerabilidad, su eficiencia. Así como su capacidad para</w:t>
      </w:r>
      <w:r w:rsidR="00A735F4" w:rsidRPr="0014541E">
        <w:rPr>
          <w:rFonts w:ascii="Arial" w:hAnsi="Arial" w:cs="Arial"/>
          <w:sz w:val="24"/>
        </w:rPr>
        <w:t xml:space="preserve"> mantener y optimizar recursos.</w:t>
      </w:r>
    </w:p>
    <w:p w:rsidR="009B5B7A" w:rsidRPr="0014541E" w:rsidRDefault="009B5B7A" w:rsidP="0014541E">
      <w:pPr>
        <w:spacing w:line="240" w:lineRule="auto"/>
        <w:jc w:val="both"/>
        <w:rPr>
          <w:rFonts w:ascii="Arial" w:hAnsi="Arial" w:cs="Arial"/>
          <w:sz w:val="24"/>
        </w:rPr>
      </w:pPr>
      <w:r w:rsidRPr="0014541E">
        <w:rPr>
          <w:rFonts w:ascii="Arial" w:hAnsi="Arial" w:cs="Arial"/>
          <w:sz w:val="24"/>
        </w:rPr>
        <w:t xml:space="preserve">Las características cualitativas que deben contener éstos se marcan en los párrafos 29 y 30 dividiéndose en dos: primarias y secundarias. Entendiendo por primarias a la confiabilidad, relevancia, comprensibilidad y </w:t>
      </w:r>
      <w:r w:rsidR="00972A73" w:rsidRPr="0014541E">
        <w:rPr>
          <w:rFonts w:ascii="Arial" w:hAnsi="Arial" w:cs="Arial"/>
          <w:sz w:val="24"/>
        </w:rPr>
        <w:t>comparabilidad, y</w:t>
      </w:r>
      <w:r w:rsidRPr="0014541E">
        <w:rPr>
          <w:rFonts w:ascii="Arial" w:hAnsi="Arial" w:cs="Arial"/>
          <w:sz w:val="24"/>
        </w:rPr>
        <w:t xml:space="preserve"> las secundarias sería todo lo que </w:t>
      </w:r>
      <w:r w:rsidR="00972A73" w:rsidRPr="0014541E">
        <w:rPr>
          <w:rFonts w:ascii="Arial" w:hAnsi="Arial" w:cs="Arial"/>
          <w:sz w:val="24"/>
        </w:rPr>
        <w:t>engloban</w:t>
      </w:r>
      <w:r w:rsidRPr="0014541E">
        <w:rPr>
          <w:rFonts w:ascii="Arial" w:hAnsi="Arial" w:cs="Arial"/>
          <w:sz w:val="24"/>
        </w:rPr>
        <w:t xml:space="preserve"> cada una de ellas.</w:t>
      </w:r>
    </w:p>
    <w:p w:rsidR="009B5B7A" w:rsidRPr="0014541E" w:rsidRDefault="009B5B7A" w:rsidP="0014541E">
      <w:pPr>
        <w:spacing w:line="240" w:lineRule="auto"/>
        <w:jc w:val="both"/>
        <w:rPr>
          <w:rFonts w:ascii="Arial" w:hAnsi="Arial" w:cs="Arial"/>
          <w:sz w:val="24"/>
        </w:rPr>
      </w:pPr>
      <w:r w:rsidRPr="0014541E">
        <w:rPr>
          <w:rFonts w:ascii="Arial" w:hAnsi="Arial" w:cs="Arial"/>
          <w:sz w:val="24"/>
        </w:rPr>
        <w:t>Una contabilidad comercial compra y vende un producto ya terminado, mientras que la contabilidad industrial compra y vende un producto que él mismo fabrica.</w:t>
      </w:r>
      <w:r w:rsidR="00106B00" w:rsidRPr="00106B00">
        <w:rPr>
          <w:rFonts w:ascii="Arial" w:hAnsi="Arial" w:cs="Arial"/>
          <w:sz w:val="24"/>
        </w:rPr>
        <w:t xml:space="preserve"> </w:t>
      </w:r>
      <w:r w:rsidR="00106B00">
        <w:rPr>
          <w:rFonts w:ascii="Arial" w:hAnsi="Arial" w:cs="Arial"/>
          <w:sz w:val="24"/>
        </w:rPr>
        <w:t>D</w:t>
      </w:r>
      <w:r w:rsidR="00106B00" w:rsidRPr="00106B00">
        <w:rPr>
          <w:rFonts w:ascii="Arial" w:hAnsi="Arial" w:cs="Arial"/>
          <w:sz w:val="24"/>
        </w:rPr>
        <w:t>ación de pago es dar un bie</w:t>
      </w:r>
      <w:r w:rsidR="00106B00">
        <w:rPr>
          <w:rFonts w:ascii="Arial" w:hAnsi="Arial" w:cs="Arial"/>
          <w:sz w:val="24"/>
        </w:rPr>
        <w:t>n tuyo para pagar alguna deuda. L</w:t>
      </w:r>
      <w:r w:rsidR="00106B00" w:rsidRPr="00106B00">
        <w:rPr>
          <w:rFonts w:ascii="Arial" w:hAnsi="Arial" w:cs="Arial"/>
          <w:sz w:val="24"/>
        </w:rPr>
        <w:t xml:space="preserve">iquidez es la capacidad de pagar tus deudas. </w:t>
      </w:r>
    </w:p>
    <w:p w:rsidR="00106B00" w:rsidRPr="0014541E" w:rsidRDefault="009B5B7A">
      <w:pPr>
        <w:spacing w:line="240" w:lineRule="auto"/>
        <w:jc w:val="both"/>
        <w:rPr>
          <w:rFonts w:ascii="Arial" w:hAnsi="Arial" w:cs="Arial"/>
          <w:sz w:val="24"/>
        </w:rPr>
      </w:pPr>
      <w:r w:rsidRPr="0014541E">
        <w:rPr>
          <w:rFonts w:ascii="Arial" w:hAnsi="Arial" w:cs="Arial"/>
          <w:sz w:val="24"/>
        </w:rPr>
        <w:t xml:space="preserve">Los tipos de empresa se clasifican en tres grandes grupos y cada una se subdivide. Por su origen: pública (la lleva el gobierno y considera las gestiones de todas sus dependencias) </w:t>
      </w:r>
      <w:r w:rsidR="00106B00">
        <w:rPr>
          <w:rFonts w:ascii="Arial" w:hAnsi="Arial" w:cs="Arial"/>
          <w:sz w:val="24"/>
        </w:rPr>
        <w:t>y privada (las llevan empresas)</w:t>
      </w:r>
      <w:r w:rsidRPr="0014541E">
        <w:rPr>
          <w:rFonts w:ascii="Arial" w:hAnsi="Arial" w:cs="Arial"/>
          <w:sz w:val="24"/>
        </w:rPr>
        <w:t xml:space="preserve">. Por su actividad: Industrial (empresas que transforman materia prima en producto elaborado). </w:t>
      </w:r>
      <w:r w:rsidR="00106B00" w:rsidRPr="0014541E">
        <w:rPr>
          <w:rFonts w:ascii="Arial" w:hAnsi="Arial" w:cs="Arial"/>
          <w:sz w:val="24"/>
        </w:rPr>
        <w:t>C</w:t>
      </w:r>
      <w:r w:rsidRPr="0014541E">
        <w:rPr>
          <w:rFonts w:ascii="Arial" w:hAnsi="Arial" w:cs="Arial"/>
          <w:sz w:val="24"/>
        </w:rPr>
        <w:t>omercial</w:t>
      </w:r>
      <w:r w:rsidR="00106B00">
        <w:rPr>
          <w:rFonts w:ascii="Arial" w:hAnsi="Arial" w:cs="Arial"/>
          <w:sz w:val="24"/>
        </w:rPr>
        <w:t xml:space="preserve"> (control de movimientos económicos-financieros)</w:t>
      </w:r>
      <w:r w:rsidRPr="0014541E">
        <w:rPr>
          <w:rFonts w:ascii="Arial" w:hAnsi="Arial" w:cs="Arial"/>
          <w:sz w:val="24"/>
        </w:rPr>
        <w:t>, extractiva</w:t>
      </w:r>
      <w:r w:rsidR="00106B00">
        <w:rPr>
          <w:rFonts w:ascii="Arial" w:hAnsi="Arial" w:cs="Arial"/>
          <w:sz w:val="24"/>
        </w:rPr>
        <w:t xml:space="preserve"> (minerales preciosos, petróleo)</w:t>
      </w:r>
      <w:r w:rsidRPr="0014541E">
        <w:rPr>
          <w:rFonts w:ascii="Arial" w:hAnsi="Arial" w:cs="Arial"/>
          <w:sz w:val="24"/>
        </w:rPr>
        <w:t>, servicios. Por su infor</w:t>
      </w:r>
      <w:bookmarkStart w:id="0" w:name="_GoBack"/>
      <w:bookmarkEnd w:id="0"/>
      <w:r w:rsidRPr="0014541E">
        <w:rPr>
          <w:rFonts w:ascii="Arial" w:hAnsi="Arial" w:cs="Arial"/>
          <w:sz w:val="24"/>
        </w:rPr>
        <w:t xml:space="preserve">mación: financiera, administrativa (proyectos de inversión), fiscal (informe de impuestos), costos (industrias de transformación), gestión, forense (prevenir actividades ilícitas, </w:t>
      </w:r>
      <w:r w:rsidR="0014541E" w:rsidRPr="0014541E">
        <w:rPr>
          <w:rFonts w:ascii="Arial" w:hAnsi="Arial" w:cs="Arial"/>
          <w:sz w:val="24"/>
        </w:rPr>
        <w:t>descubrir</w:t>
      </w:r>
      <w:r w:rsidRPr="0014541E">
        <w:rPr>
          <w:rFonts w:ascii="Arial" w:hAnsi="Arial" w:cs="Arial"/>
          <w:sz w:val="24"/>
        </w:rPr>
        <w:t xml:space="preserve"> fraudes).</w:t>
      </w:r>
    </w:p>
    <w:sectPr w:rsidR="00106B00" w:rsidRPr="00145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86" w:rsidRDefault="00F84286" w:rsidP="00106B00">
      <w:pPr>
        <w:spacing w:after="0" w:line="240" w:lineRule="auto"/>
      </w:pPr>
      <w:r>
        <w:separator/>
      </w:r>
    </w:p>
  </w:endnote>
  <w:endnote w:type="continuationSeparator" w:id="0">
    <w:p w:rsidR="00F84286" w:rsidRDefault="00F84286" w:rsidP="0010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86" w:rsidRDefault="00F84286" w:rsidP="00106B00">
      <w:pPr>
        <w:spacing w:after="0" w:line="240" w:lineRule="auto"/>
      </w:pPr>
      <w:r>
        <w:separator/>
      </w:r>
    </w:p>
  </w:footnote>
  <w:footnote w:type="continuationSeparator" w:id="0">
    <w:p w:rsidR="00F84286" w:rsidRDefault="00F84286" w:rsidP="00106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F3"/>
    <w:rsid w:val="00106B00"/>
    <w:rsid w:val="0014541E"/>
    <w:rsid w:val="002E2EF3"/>
    <w:rsid w:val="008C1A2E"/>
    <w:rsid w:val="00972A73"/>
    <w:rsid w:val="009B5B7A"/>
    <w:rsid w:val="00A735F4"/>
    <w:rsid w:val="00F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FA07"/>
  <w15:chartTrackingRefBased/>
  <w15:docId w15:val="{6F1B01C7-5BB9-44DA-B5DD-48C04FA8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6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B00"/>
  </w:style>
  <w:style w:type="paragraph" w:styleId="Piedepgina">
    <w:name w:val="footer"/>
    <w:basedOn w:val="Normal"/>
    <w:link w:val="PiedepginaCar"/>
    <w:uiPriority w:val="99"/>
    <w:unhideWhenUsed/>
    <w:rsid w:val="00106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2022-08-29T20:55:00Z</dcterms:created>
  <dcterms:modified xsi:type="dcterms:W3CDTF">2022-08-29T23:30:00Z</dcterms:modified>
</cp:coreProperties>
</file>